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FC1764">
      <w:pPr>
        <w:ind w:firstLine="0"/>
        <w:jc w:val="center"/>
        <w:outlineLvl w:val="0"/>
        <w:rPr>
          <w:rFonts w:ascii="Times New Roman" w:hAnsi="Times New Roman" w:eastAsia="Times New Roman" w:cs="Times New Roman"/>
          <w:bCs/>
          <w:color w:val="000000" w:themeColor="text1"/>
          <w:kern w:val="36"/>
          <w:lang w:eastAsia="ru-RU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bCs/>
          <w:color w:val="000000" w:themeColor="text1"/>
          <w:kern w:val="36"/>
          <w:lang w:eastAsia="ru-RU"/>
          <w14:textFill>
            <w14:solidFill>
              <w14:schemeClr w14:val="tx1"/>
            </w14:solidFill>
          </w14:textFill>
        </w:rPr>
        <w:t>ЗАПРОС</w:t>
      </w:r>
      <w:r>
        <w:rPr>
          <w:rFonts w:ascii="Times New Roman" w:hAnsi="Times New Roman" w:eastAsia="Times New Roman" w:cs="Times New Roman"/>
          <w:bCs/>
          <w:color w:val="000000" w:themeColor="text1"/>
          <w:kern w:val="36"/>
          <w:lang w:eastAsia="ru-RU"/>
          <w14:textFill>
            <w14:solidFill>
              <w14:schemeClr w14:val="tx1"/>
            </w14:solidFill>
          </w14:textFill>
        </w:rPr>
        <w:br w:type="textWrapping"/>
      </w:r>
      <w:r>
        <w:rPr>
          <w:rFonts w:ascii="Times New Roman" w:hAnsi="Times New Roman" w:eastAsia="Times New Roman" w:cs="Times New Roman"/>
          <w:bCs/>
          <w:color w:val="000000" w:themeColor="text1"/>
          <w:kern w:val="36"/>
          <w:lang w:eastAsia="ru-RU"/>
          <w14:textFill>
            <w14:solidFill>
              <w14:schemeClr w14:val="tx1"/>
            </w14:solidFill>
          </w14:textFill>
        </w:rPr>
        <w:t>о предоставлении сведений</w:t>
      </w:r>
    </w:p>
    <w:p w14:paraId="780628B0">
      <w:pPr>
        <w:ind w:firstLine="0"/>
        <w:jc w:val="center"/>
        <w:outlineLvl w:val="0"/>
        <w:rPr>
          <w:rFonts w:ascii="Times New Roman" w:hAnsi="Times New Roman" w:eastAsia="Times New Roman" w:cs="Times New Roman"/>
          <w:bCs/>
          <w:color w:val="000000" w:themeColor="text1"/>
          <w:kern w:val="36"/>
          <w:lang w:eastAsia="ru-RU"/>
          <w14:textFill>
            <w14:solidFill>
              <w14:schemeClr w14:val="tx1"/>
            </w14:solidFill>
          </w14:textFill>
        </w:rPr>
      </w:pPr>
    </w:p>
    <w:p w14:paraId="444571E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Государственное учреждение </w:t>
      </w:r>
      <w:r>
        <w:rPr>
          <w:rFonts w:ascii="Times New Roman" w:hAnsi="Times New Roman" w:cs="Times New Roman"/>
          <w:color w:val="FF0000"/>
        </w:rPr>
        <w:t xml:space="preserve">«Центр по обеспечению деятельности бюджетных организаций администрации Первомайского района г. Минска» </w:t>
      </w:r>
      <w:r>
        <w:rPr>
          <w:rFonts w:ascii="Times New Roman" w:hAnsi="Times New Roman" w:cs="Times New Roman"/>
        </w:rPr>
        <w:t xml:space="preserve">в связи с необходимостью проведения закупки из одного источника на основании п. </w:t>
      </w:r>
      <w:r>
        <w:rPr>
          <w:rFonts w:hint="default" w:ascii="Times New Roman" w:hAnsi="Times New Roman" w:cs="Times New Roman"/>
          <w:lang w:val="ru-RU"/>
        </w:rPr>
        <w:t>7</w:t>
      </w:r>
      <w:r>
        <w:rPr>
          <w:rFonts w:ascii="Times New Roman" w:hAnsi="Times New Roman" w:cs="Times New Roman"/>
        </w:rPr>
        <w:t xml:space="preserve"> приложения к Закону Республики Беларусь от 13 июля 2012 г. № 419-З «О государственных закупках товаров (раб</w:t>
      </w:r>
      <w:bookmarkStart w:id="0" w:name="_GoBack"/>
      <w:bookmarkEnd w:id="0"/>
      <w:r>
        <w:rPr>
          <w:rFonts w:ascii="Times New Roman" w:hAnsi="Times New Roman" w:cs="Times New Roman"/>
        </w:rPr>
        <w:t>от, услуг)», просит предоставить коммерческое (ценовое) предложение по следующим позициям:</w:t>
      </w:r>
    </w:p>
    <w:tbl>
      <w:tblPr>
        <w:tblStyle w:val="6"/>
        <w:tblpPr w:leftFromText="180" w:rightFromText="180" w:vertAnchor="text" w:horzAnchor="margin" w:tblpXSpec="center" w:tblpY="1"/>
        <w:tblW w:w="5000" w:type="pct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06"/>
        <w:gridCol w:w="5214"/>
      </w:tblGrid>
      <w:tr w14:paraId="567CFD5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3" w:hRule="atLeast"/>
          <w:jc w:val="center"/>
        </w:trPr>
        <w:tc>
          <w:tcPr>
            <w:tcW w:w="249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C79CA21">
            <w:pPr>
              <w:spacing w:line="233" w:lineRule="auto"/>
              <w:ind w:firstLine="0"/>
              <w:jc w:val="lef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>Наименование заказчика,</w:t>
            </w:r>
          </w:p>
          <w:p w14:paraId="6F8E57CA">
            <w:pPr>
              <w:spacing w:line="233" w:lineRule="auto"/>
              <w:ind w:firstLine="0"/>
              <w:jc w:val="lef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</w:p>
          <w:p w14:paraId="58F408F0">
            <w:pPr>
              <w:spacing w:line="233" w:lineRule="auto"/>
              <w:ind w:firstLine="0"/>
              <w:jc w:val="lef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>УНП заказчика</w:t>
            </w:r>
          </w:p>
        </w:tc>
        <w:tc>
          <w:tcPr>
            <w:tcW w:w="250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1D0FA6A">
            <w:pPr>
              <w:spacing w:line="233" w:lineRule="auto"/>
              <w:ind w:firstLine="0"/>
              <w:rPr>
                <w:rFonts w:ascii="Times New Roman" w:hAnsi="Times New Roman" w:eastAsia="Times New Roman" w:cs="Times New Roman"/>
                <w:color w:val="000000"/>
                <w:lang w:val="be-BY" w:eastAsia="ru-RU"/>
              </w:rPr>
            </w:pPr>
            <w:r>
              <w:rPr>
                <w:rFonts w:ascii="Times New Roman" w:hAnsi="Times New Roman" w:cs="Times New Roman"/>
              </w:rPr>
              <w:t xml:space="preserve">Государственное учреждение </w:t>
            </w:r>
            <w:r>
              <w:rPr>
                <w:rFonts w:ascii="Times New Roman" w:hAnsi="Times New Roman" w:cs="Times New Roman"/>
                <w:color w:val="FF0000"/>
              </w:rPr>
              <w:t>«Центр по обеспечению деятельности бюджетных организаций администрации Первомайского района г. Минска»</w:t>
            </w:r>
          </w:p>
          <w:p w14:paraId="7FB0FEF0">
            <w:pPr>
              <w:spacing w:line="233" w:lineRule="auto"/>
              <w:ind w:firstLine="0"/>
              <w:jc w:val="lef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</w:rPr>
              <w:t>УНП 193402504</w:t>
            </w:r>
          </w:p>
        </w:tc>
      </w:tr>
      <w:tr w14:paraId="1A7DD0D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  <w:jc w:val="center"/>
        </w:trPr>
        <w:tc>
          <w:tcPr>
            <w:tcW w:w="249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E2C266C">
            <w:pPr>
              <w:spacing w:line="233" w:lineRule="auto"/>
              <w:ind w:firstLine="0"/>
              <w:jc w:val="lef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>Дата предоставления сведений о товарах и ценах на них (ответ на запрос)</w:t>
            </w:r>
          </w:p>
        </w:tc>
        <w:tc>
          <w:tcPr>
            <w:tcW w:w="250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C162D62">
            <w:pPr>
              <w:spacing w:line="233" w:lineRule="auto"/>
              <w:ind w:firstLine="0"/>
              <w:jc w:val="left"/>
              <w:rPr>
                <w:rFonts w:hint="default" w:ascii="Times New Roman" w:hAnsi="Times New Roman" w:eastAsia="Times New Roman" w:cs="Times New Roman"/>
                <w:color w:val="000000" w:themeColor="text1"/>
                <w:lang w:val="en-US"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lang w:eastAsia="ru-RU"/>
                <w14:textFill>
                  <w14:solidFill>
                    <w14:schemeClr w14:val="tx1"/>
                  </w14:solidFill>
                </w14:textFill>
              </w:rPr>
              <w:t>Информацию направлять на электронную торговую</w:t>
            </w:r>
            <w:r>
              <w:rPr>
                <w:rFonts w:hint="default" w:ascii="Times New Roman" w:hAnsi="Times New Roman" w:eastAsia="Times New Roman" w:cs="Times New Roman"/>
                <w:color w:val="000000" w:themeColor="text1"/>
                <w:lang w:val="en-US" w:eastAsia="ru-RU"/>
                <w14:textFill>
                  <w14:solidFill>
                    <w14:schemeClr w14:val="tx1"/>
                  </w14:solidFill>
                </w14:textFill>
              </w:rPr>
              <w:t xml:space="preserve"> площадку БУТБ</w:t>
            </w:r>
          </w:p>
        </w:tc>
      </w:tr>
      <w:tr w14:paraId="2E56947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5" w:hRule="atLeast"/>
          <w:jc w:val="center"/>
        </w:trPr>
        <w:tc>
          <w:tcPr>
            <w:tcW w:w="249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24D1551">
            <w:pPr>
              <w:spacing w:line="233" w:lineRule="auto"/>
              <w:ind w:firstLine="0"/>
              <w:jc w:val="lef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</w:rPr>
              <w:t>Предельная стоимость предмета государственной закупки</w:t>
            </w:r>
          </w:p>
        </w:tc>
        <w:tc>
          <w:tcPr>
            <w:tcW w:w="250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70926E5">
            <w:pPr>
              <w:spacing w:line="233" w:lineRule="auto"/>
              <w:ind w:firstLine="0"/>
              <w:jc w:val="left"/>
              <w:rPr>
                <w:rFonts w:ascii="Times New Roman" w:hAnsi="Times New Roman" w:eastAsia="Times New Roman" w:cs="Times New Roman"/>
                <w:color w:val="000000" w:themeColor="text1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Times New Roman" w:cs="Times New Roman"/>
                <w:color w:val="FF0000"/>
                <w:lang w:val="ru-RU" w:eastAsia="ru-RU"/>
              </w:rPr>
              <w:t>8 782 руб. 79 коп.</w:t>
            </w:r>
            <w:r>
              <w:rPr>
                <w:rFonts w:ascii="Times New Roman" w:hAnsi="Times New Roman" w:eastAsia="Times New Roman" w:cs="Times New Roman"/>
                <w:color w:val="FF0000"/>
                <w:lang w:eastAsia="ru-RU"/>
              </w:rPr>
              <w:t xml:space="preserve"> с НДС</w:t>
            </w:r>
          </w:p>
        </w:tc>
      </w:tr>
      <w:tr w14:paraId="009B9B6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  <w:jc w:val="center"/>
        </w:trPr>
        <w:tc>
          <w:tcPr>
            <w:tcW w:w="249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1D6FA31">
            <w:pPr>
              <w:spacing w:line="233" w:lineRule="auto"/>
              <w:ind w:right="-107" w:firstLine="0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>Требования к участникам, документы и (или) сведения для проверки требований к участникам</w:t>
            </w:r>
          </w:p>
        </w:tc>
        <w:tc>
          <w:tcPr>
            <w:tcW w:w="250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C93ACAD">
            <w:pPr>
              <w:pStyle w:val="25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 участникам предъявляются следующие требования:</w:t>
            </w:r>
          </w:p>
          <w:p w14:paraId="4DDC887E">
            <w:pPr>
              <w:pStyle w:val="2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Соответствие требованиям, установленным законодательством к юридическому лицу, в том числе индивидуальному предпринимателю, осуществляющему поставку товаров, являющихся предметом государственной закупки.</w:t>
            </w:r>
          </w:p>
          <w:p w14:paraId="31C3EC60">
            <w:pPr>
              <w:pStyle w:val="2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</w:t>
            </w:r>
            <w:r>
              <w:t xml:space="preserve"> </w:t>
            </w:r>
            <w:r>
              <w:rPr>
                <w:rFonts w:ascii="Times New Roman" w:hAnsi="Times New Roman" w:cs="Times New Roman"/>
              </w:rPr>
              <w:t>Соответствие данному требованию подтверждается свидетельством о государственной регистрации юридического лица или индивидуального предпринимателя для резидентов Республики Беларусь или выпиской из торгового реестра страны регистрации лица или иным эквивалентным доказательством юридического статуса в соответствии с законодательством страны регистрации для нерезидентов Республики Беларусь;</w:t>
            </w:r>
          </w:p>
          <w:p w14:paraId="21F3D5B2">
            <w:pPr>
              <w:pStyle w:val="2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 Отсутствие у юридического лица или индивидуального предпринимателя задолженности по уплате налогов, сборов (пошлин), пеней, а также отсутствие у юридического лица или индивидуального предпринимателя, являющихся резидентами,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Беларусь. Данное требование не распространяется на юридическое лицо, в отношении которого возбуждено производство по делу о несостоятельности, а также на юридическое лицо или индивидуального предпринимателя, в отношении которых на дату подачи предложения в установленном Налоговым кодексом Республики Беларусь, иными законодательными актами порядке предоставлены отсрочка и (или) рассрочка по уплате налогов, сборов (пошлин), пеней, обязательных страховых взносов в бюджет государственного внебюджетного фонда социальной защиты населения Республики Беларусь, что подтверждается соответствующим заявлением участника.</w:t>
            </w:r>
          </w:p>
          <w:p w14:paraId="313FA6DC">
            <w:pPr>
              <w:pStyle w:val="42"/>
              <w:shd w:val="clear" w:color="auto" w:fill="FFFFFF"/>
              <w:spacing w:before="0" w:beforeAutospacing="0" w:after="0" w:afterAutospacing="0"/>
              <w:ind w:firstLine="450"/>
              <w:jc w:val="both"/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 xml:space="preserve">Соответствие требованию подтверждается: </w:t>
            </w:r>
          </w:p>
          <w:p w14:paraId="509375D8">
            <w:pPr>
              <w:pStyle w:val="42"/>
              <w:shd w:val="clear" w:color="auto" w:fill="FFFFFF"/>
              <w:spacing w:before="0" w:beforeAutospacing="0" w:after="0" w:afterAutospacing="0"/>
              <w:ind w:firstLine="450"/>
              <w:jc w:val="both"/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в отношении участников, являющихся резидентами, - путем проверки организатором таких сведений через официальные сайты Министерства по налогам и сборам, Фонда социальной защиты населения Министерства труда и социальной защиты в глобальной компьютерной сети Интернет на первое число месяца, в котором осуществляется рассмотрение предложения, а в случае отсутствия информации на указанную дату - на первое число месяца, предшествующего месяцу, в котором осуществляется рассмотрение предложения;</w:t>
            </w:r>
          </w:p>
          <w:p w14:paraId="7A1166D8">
            <w:pPr>
              <w:pStyle w:val="42"/>
              <w:shd w:val="clear" w:color="auto" w:fill="FFFFFF"/>
              <w:spacing w:before="0" w:beforeAutospacing="0" w:after="0" w:afterAutospacing="0"/>
              <w:ind w:firstLine="450"/>
              <w:jc w:val="both"/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участниками, не являющимися резидентами, - документом об отсутствии задолженности по уплате налогов, сборов (пошлин), пеней, выданным уполномоченными органами в соответствии с законодательством страны, резидентом которой является участник, на последнюю отчетную дату, предшествующую дню подачи предложения, и заявлением с указанием последней отчетной даты;</w:t>
            </w:r>
          </w:p>
          <w:p w14:paraId="39A71297">
            <w:pPr>
              <w:pStyle w:val="42"/>
              <w:shd w:val="clear" w:color="auto" w:fill="FFFFFF"/>
              <w:spacing w:before="0" w:beforeAutospacing="0" w:after="0" w:afterAutospacing="0"/>
              <w:ind w:firstLine="450"/>
              <w:jc w:val="both"/>
              <w:rPr>
                <w:rFonts w:eastAsiaTheme="minorEastAsia"/>
                <w:sz w:val="20"/>
                <w:szCs w:val="20"/>
              </w:rPr>
            </w:pPr>
          </w:p>
          <w:p w14:paraId="4EAA523C">
            <w:pPr>
              <w:pStyle w:val="25"/>
              <w:jc w:val="both"/>
            </w:pPr>
            <w:r>
              <w:rPr>
                <w:rFonts w:ascii="Times New Roman" w:hAnsi="Times New Roman" w:cs="Times New Roman"/>
              </w:rPr>
              <w:t xml:space="preserve">3. Юридическое лицо, в том числе индивидуальный предприниматель, на дату подачи предложения не должно быть включено в список поставщиков (подрядчиков, исполнителей), временно не допускаемых к участию в процедурах государственных закупок. </w:t>
            </w:r>
            <w:r>
              <w:t xml:space="preserve"> </w:t>
            </w:r>
          </w:p>
          <w:p w14:paraId="501E4524">
            <w:pPr>
              <w:pStyle w:val="2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</w:t>
            </w:r>
            <w:r>
              <w:t xml:space="preserve"> </w:t>
            </w:r>
            <w:r>
              <w:rPr>
                <w:rFonts w:ascii="Times New Roman" w:hAnsi="Times New Roman" w:cs="Times New Roman"/>
              </w:rPr>
              <w:t>Соответствие данному требованию подтверждается путем проверки оператором электронной торговой площадки списка, за исключением случая совместного участия в процедуре государственной закупки нескольких лиц в соответствии с пунктом 4 статьи 16 Закона. В данном случае соответствие настоящему требованию подтверждается заявлением участника. Такое заявление подается по форме, установленной регламентом оператора электронной торговой площадки;</w:t>
            </w:r>
          </w:p>
          <w:p w14:paraId="744802D6">
            <w:pPr>
              <w:pStyle w:val="25"/>
              <w:jc w:val="both"/>
            </w:pPr>
          </w:p>
          <w:p w14:paraId="4CAD23C2">
            <w:pPr>
              <w:pStyle w:val="2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 Юридическое или физическое лицо, в том числе индивидуальный предприниматель, с учетом положений статьи 16-1 Закона Республики Беларусь от 13.07.2012 N 419-З "О государственных закупках товаров (работ, услуг)" (далее – Закон) не должно быть аффилировано с заказчиком, организатором.</w:t>
            </w:r>
          </w:p>
          <w:p w14:paraId="04B3B532">
            <w:pPr>
              <w:pStyle w:val="2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</w:t>
            </w:r>
            <w:r>
              <w:t xml:space="preserve"> </w:t>
            </w:r>
            <w:r>
              <w:rPr>
                <w:rFonts w:ascii="Times New Roman" w:hAnsi="Times New Roman" w:cs="Times New Roman"/>
              </w:rPr>
              <w:t>Соответствие данному требованию подтверждается заявлением участника. Такое заявление подается по форме, установленной регламентом оператора электронной торговой площадки;</w:t>
            </w:r>
          </w:p>
          <w:p w14:paraId="568588B6">
            <w:pPr>
              <w:pStyle w:val="2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 Юридическое или физическое лицо, в том числе индивидуальный предприниматель, являющееся участником-победителем, с учетом положений статьи 16-1 Закона не должно быть аффилировано со всеми другими участниками (а если предмет государственной закупки разделен на части (лоты) - с участниками по той же части (лоту)), допущенными к оценке и сравнению предложений (к торгам при проведении электронного аукциона).</w:t>
            </w:r>
          </w:p>
          <w:p w14:paraId="082AED5A">
            <w:pPr>
              <w:pStyle w:val="2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Не позднее трех рабочих дней со дня уведомления участников о выборе участника-победителя последний обязан информировать организатора о том, что все участники (а если предмет государственной закупки разделен на части (лоты) - все участники по той же части (лоту)), допущенные к оценке и сравнению предложений (к торгам при проведении электронного аукциона), являются для него аффилированными лицами, либо о том, что среди таких участников имеется лицо, не аффилированное с ним. Соответствующая информация предоставляется участником-победителем в виде заявления по форме, установленной регламентом оператора электронной торговой площадки.</w:t>
            </w:r>
          </w:p>
          <w:p w14:paraId="1E6B192B">
            <w:pPr>
              <w:pStyle w:val="25"/>
              <w:jc w:val="both"/>
              <w:rPr>
                <w:rFonts w:ascii="Times New Roman" w:hAnsi="Times New Roman" w:cs="Times New Roman"/>
              </w:rPr>
            </w:pPr>
          </w:p>
          <w:p w14:paraId="3136F17D">
            <w:pPr>
              <w:pStyle w:val="2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 Юридическое лицо, в том числе индивидуальный предприниматель, работник (работники) таких юридического лица или индивидуального предпринимателя не должны оказывать заказчику (организатору) услуги по организации и проведению процедуры государственной закупки, в том числе консультированию, а также формированию требований к предмету государственной закупки и (или) подготовке заключения по рассмотрению, оценке и сравнению предложений.</w:t>
            </w:r>
          </w:p>
          <w:p w14:paraId="1FA04D7E">
            <w:pPr>
              <w:pStyle w:val="2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</w:t>
            </w:r>
            <w:r>
              <w:t xml:space="preserve"> </w:t>
            </w:r>
            <w:r>
              <w:rPr>
                <w:rFonts w:ascii="Times New Roman" w:hAnsi="Times New Roman" w:cs="Times New Roman"/>
              </w:rPr>
              <w:t>Соответствие данному требованию подтверждается заявлением участника. Такое заявление подается по форме, установленной регламентом оператора электронной торговой площадки;</w:t>
            </w:r>
          </w:p>
          <w:p w14:paraId="41485F65">
            <w:pPr>
              <w:pStyle w:val="25"/>
              <w:jc w:val="both"/>
              <w:rPr>
                <w:rFonts w:ascii="Times New Roman" w:hAnsi="Times New Roman" w:cs="Times New Roman"/>
              </w:rPr>
            </w:pPr>
          </w:p>
          <w:p w14:paraId="2CA768AB">
            <w:pPr>
              <w:pStyle w:val="2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 Юридическое лицо или индивидуальный предприниматель не должны являться заказчиком (организатором) проводимой процедуры государственной закупки.</w:t>
            </w:r>
          </w:p>
          <w:p w14:paraId="2FFF158C">
            <w:pPr>
              <w:pStyle w:val="2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</w:t>
            </w:r>
            <w:r>
              <w:t xml:space="preserve"> </w:t>
            </w:r>
            <w:r>
              <w:rPr>
                <w:rFonts w:ascii="Times New Roman" w:hAnsi="Times New Roman" w:cs="Times New Roman"/>
              </w:rPr>
              <w:t>Соответствие данному требованию подтверждается заявлением участника. Такое заявление подается по форме, установленной регламентом оператора электронной торговой площадки;</w:t>
            </w:r>
          </w:p>
          <w:p w14:paraId="04B44336">
            <w:pPr>
              <w:pStyle w:val="25"/>
              <w:jc w:val="both"/>
              <w:rPr>
                <w:rFonts w:ascii="Times New Roman" w:hAnsi="Times New Roman" w:cs="Times New Roman"/>
              </w:rPr>
            </w:pPr>
          </w:p>
          <w:p w14:paraId="5DA6AA9B">
            <w:pPr>
              <w:pStyle w:val="2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 Юридическое лицо не должно находиться в процессе ликвидации, реорганизации (за исключением юридического лица, к которому присоединяется другое юридическое лицо), индивидуальный предприниматель не должен находиться в стадии прекращения деятельности.</w:t>
            </w:r>
          </w:p>
          <w:p w14:paraId="75F8C113">
            <w:pPr>
              <w:pStyle w:val="2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Соответствие данному требованию подтверждается заявлением участника. Такое заявление подается по форме, установленной регламентом оператора электронной торговой площадки;</w:t>
            </w:r>
          </w:p>
          <w:p w14:paraId="07AC5F0A">
            <w:pPr>
              <w:pStyle w:val="25"/>
              <w:jc w:val="both"/>
              <w:rPr>
                <w:rFonts w:ascii="Times New Roman" w:hAnsi="Times New Roman" w:cs="Times New Roman"/>
              </w:rPr>
            </w:pPr>
          </w:p>
          <w:p w14:paraId="12D09C1B">
            <w:pPr>
              <w:pStyle w:val="2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 В отношении юридического лица и индивидуального предпринимателя не должно быть возбуждено производство по делу о банкротстве.</w:t>
            </w:r>
          </w:p>
          <w:p w14:paraId="56FC9AED">
            <w:pPr>
              <w:pStyle w:val="2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Соответствие данному требованию подтверждается заявлением участника. Такое заявление подается по форме, установленной регламентом оператора электронной торговой площадки;</w:t>
            </w:r>
          </w:p>
          <w:p w14:paraId="495D448B">
            <w:pPr>
              <w:pStyle w:val="25"/>
              <w:jc w:val="both"/>
              <w:rPr>
                <w:rFonts w:ascii="Times New Roman" w:hAnsi="Times New Roman" w:cs="Times New Roman"/>
              </w:rPr>
            </w:pPr>
          </w:p>
          <w:p w14:paraId="713036ED">
            <w:pPr>
              <w:pStyle w:val="2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 Юридическое лицо, в том числе индивидуальный предприниматель, должно обладать правомочиями на реализацию товаров (выполнение работ, оказание услуг) на территории Республики Беларусь с использованием товарных знаков и знаков обслуживания в случае поставки товаров (выполнение работ, оказание услуг) с использованием товарных знаков и (или) знаков обслуживания.</w:t>
            </w:r>
          </w:p>
          <w:p w14:paraId="7F7647E7">
            <w:pPr>
              <w:pStyle w:val="2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Соответствие данному требованию подтверждается заявлением участника. Такое заявление подается по форме, установленной регламентом оператора электронной торговой площадки;</w:t>
            </w:r>
          </w:p>
          <w:p w14:paraId="684EC6EA">
            <w:pPr>
              <w:pStyle w:val="25"/>
              <w:jc w:val="both"/>
              <w:rPr>
                <w:rFonts w:ascii="Times New Roman" w:hAnsi="Times New Roman" w:cs="Times New Roman"/>
              </w:rPr>
            </w:pPr>
          </w:p>
          <w:p w14:paraId="66F38A39">
            <w:pPr>
              <w:pStyle w:val="2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 Физическое лицо, в том числе индивидуальный предприниматель, - участник процедуры государственной закупки, лицо, осуществляющее полномочия единоличного исполнительного органа юридического лица - участника процедуры государственной закупки, и лицо, имеющее право давать такому юридическому лицу обязательные для исполнения указания на основании учредительных документов или заключенного договора, не должны считаться подвергавшимися административному взысканию за административные правонарушения, предусмотренные в частях 1, 7, 8 и 10 статьи 14.4, частях 4 и 5 статьи 14.5 Кодекса Республики Беларусь об административных правонарушениях;</w:t>
            </w:r>
          </w:p>
          <w:p w14:paraId="6AA54025">
            <w:pPr>
              <w:pStyle w:val="25"/>
              <w:ind w:firstLine="54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отсутствие у участника процедуры государственной закупки - физического лица, в том числе индивидуального предпринимателя, не снятой или не погашенной в установленном порядке судимости за преступления, предусмотренные в статьях 209 - 212, 216, 235, 243 - 243-3, 424 - 426, 429 - 432 и 455 Уголовного кодекса Республики Беларусь;</w:t>
            </w:r>
          </w:p>
          <w:p w14:paraId="744D8E18">
            <w:pPr>
              <w:pStyle w:val="25"/>
              <w:ind w:firstLine="54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отсутствие у лица, осуществляющего полномочия единоличного исполнительного органа юридического лица - участника процедуры государственной закупки, и лица, имеющего право давать такому юридическому лицу обязательные для исполнения указания на основании учредительных документов или заключенного договора, не снятой или не погашенной в установленном порядке судимости за преступления, предусмотренные в статьях 209 - 212, 216, 235, 243 - 243-3, 424 - 426, 429 - 432 и 455 Уголовного кодекса Республики Беларусь;</w:t>
            </w:r>
          </w:p>
          <w:p w14:paraId="34C2839C">
            <w:pPr>
              <w:pStyle w:val="25"/>
              <w:ind w:firstLine="54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юридическое лицо не должно считаться подвергавшимся административному взысканию за административное правонарушение, предусмотренное в статье 24.59 Кодекса Республики Беларусь об административных правонарушениях;</w:t>
            </w:r>
          </w:p>
          <w:p w14:paraId="5ACF64C0">
            <w:pPr>
              <w:pStyle w:val="25"/>
              <w:ind w:firstLine="54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физическое лицо, в том числе индивидуальный предприниматель, не должны быть включены в перечень граждан Республики Беларусь, иностранных граждан или лиц без гражданства, причастных к экстремистской деятельности;</w:t>
            </w:r>
          </w:p>
          <w:p w14:paraId="1020DC15">
            <w:pPr>
              <w:pStyle w:val="25"/>
              <w:ind w:firstLine="54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юридическое или физическое лицо, в том числе индивидуальный предприниматель, не должны быть включены в перечень организаций и физических лиц, в том числе индивидуальных предпринимателей, причастных к террористической деятельности;</w:t>
            </w:r>
          </w:p>
          <w:p w14:paraId="06FE9514">
            <w:pPr>
              <w:pStyle w:val="25"/>
              <w:ind w:firstLine="54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юридическое или физическое лицо, в том числе индивидуальный предприниматель, не должны быть включены в перечень организаций, формирований, индивидуальных предпринимателей, причастных к экстремистской деятельности.</w:t>
            </w:r>
          </w:p>
          <w:p w14:paraId="44CA5C52">
            <w:pPr>
              <w:pStyle w:val="2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</w:rPr>
              <w:t xml:space="preserve">                Соответствие данному требованию подтверждается заявлением участника, подписанным не ранее чем за пять рабочих дней до даты подачи предложения. Такое заявление подается по форме, установленной регламентом оператора электронной торговой площадки.</w:t>
            </w:r>
          </w:p>
        </w:tc>
      </w:tr>
      <w:tr w14:paraId="2F922C3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" w:hRule="atLeast"/>
          <w:jc w:val="center"/>
        </w:trPr>
        <w:tc>
          <w:tcPr>
            <w:tcW w:w="5000" w:type="pct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D408F98">
            <w:pPr>
              <w:pStyle w:val="25"/>
              <w:spacing w:line="233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Сведения о предмете государственной закупки</w:t>
            </w:r>
          </w:p>
        </w:tc>
      </w:tr>
    </w:tbl>
    <w:p w14:paraId="0B2139B4">
      <w:pPr>
        <w:ind w:firstLine="0"/>
        <w:jc w:val="center"/>
        <w:rPr>
          <w:rFonts w:ascii="Times New Roman" w:hAnsi="Times New Roman" w:cs="Times New Roman" w:eastAsiaTheme="minorEastAsia"/>
          <w:sz w:val="20"/>
          <w:szCs w:val="20"/>
          <w:lang w:eastAsia="ru-RU"/>
        </w:rPr>
      </w:pP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  <w:t>Лот №1</w:t>
      </w:r>
    </w:p>
    <w:tbl>
      <w:tblPr>
        <w:tblStyle w:val="6"/>
        <w:tblW w:w="10206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98"/>
        <w:gridCol w:w="5108"/>
      </w:tblGrid>
      <w:tr w14:paraId="5D76E70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  <w:jc w:val="center"/>
        </w:trPr>
        <w:tc>
          <w:tcPr>
            <w:tcW w:w="5098" w:type="dxa"/>
          </w:tcPr>
          <w:p w14:paraId="0437F1E5">
            <w:pPr>
              <w:spacing w:line="226" w:lineRule="auto"/>
              <w:ind w:firstLine="0"/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  <w:t xml:space="preserve">Наименование товаров (работ, услуг) </w:t>
            </w:r>
          </w:p>
        </w:tc>
        <w:tc>
          <w:tcPr>
            <w:tcW w:w="5108" w:type="dxa"/>
          </w:tcPr>
          <w:p w14:paraId="0B529C0C">
            <w:pPr>
              <w:spacing w:line="226" w:lineRule="auto"/>
              <w:ind w:firstLine="0"/>
              <w:rPr>
                <w:rFonts w:hint="default" w:ascii="Times New Roman" w:hAnsi="Times New Roman" w:cs="Times New Roman" w:eastAsiaTheme="minorEastAsia"/>
                <w:color w:val="FF0000"/>
                <w:sz w:val="20"/>
                <w:szCs w:val="20"/>
                <w:lang w:val="en-US" w:eastAsia="ru-RU"/>
              </w:rPr>
            </w:pPr>
            <w:r>
              <w:rPr>
                <w:rFonts w:hint="default" w:ascii="Times New Roman" w:hAnsi="Times New Roman" w:cs="Times New Roman" w:eastAsiaTheme="minorEastAsia"/>
                <w:color w:val="FF0000"/>
                <w:sz w:val="20"/>
                <w:szCs w:val="20"/>
                <w:lang w:val="en-US" w:eastAsia="ru-RU"/>
              </w:rPr>
              <w:t>Текущий ремонт навеса над трибунами стадиона                      в государственном учреждении образования «Средняя школа № 190 г.Минска», ул.Никифорова, 19</w:t>
            </w:r>
          </w:p>
        </w:tc>
      </w:tr>
      <w:tr w14:paraId="78AA43E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  <w:jc w:val="center"/>
        </w:trPr>
        <w:tc>
          <w:tcPr>
            <w:tcW w:w="5098" w:type="dxa"/>
          </w:tcPr>
          <w:p w14:paraId="492B4518">
            <w:pPr>
              <w:spacing w:line="226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Код по ОКРБ 007-2012</w:t>
            </w:r>
          </w:p>
        </w:tc>
        <w:tc>
          <w:tcPr>
            <w:tcW w:w="5108" w:type="dxa"/>
          </w:tcPr>
          <w:p w14:paraId="21C105DB">
            <w:pPr>
              <w:ind w:firstLine="0"/>
              <w:rPr>
                <w:rFonts w:ascii="Times New Roman" w:hAnsi="Times New Roman" w:cs="Times New Roman"/>
                <w:color w:val="FF0000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FF0000"/>
                <w:sz w:val="20"/>
                <w:szCs w:val="20"/>
                <w:shd w:val="clear" w:color="auto" w:fill="FFFFFF"/>
              </w:rPr>
              <w:t>43.29.19.200</w:t>
            </w:r>
          </w:p>
        </w:tc>
      </w:tr>
      <w:tr w14:paraId="13818EC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  <w:jc w:val="center"/>
        </w:trPr>
        <w:tc>
          <w:tcPr>
            <w:tcW w:w="5098" w:type="dxa"/>
          </w:tcPr>
          <w:p w14:paraId="3FA82798">
            <w:pPr>
              <w:spacing w:line="226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Наименование в соответствии с ОКРБ 007-2012</w:t>
            </w:r>
          </w:p>
        </w:tc>
        <w:tc>
          <w:tcPr>
            <w:tcW w:w="5108" w:type="dxa"/>
          </w:tcPr>
          <w:p w14:paraId="485881D7">
            <w:pPr>
              <w:spacing w:line="226" w:lineRule="auto"/>
              <w:ind w:firstLine="0"/>
              <w:rPr>
                <w:rFonts w:ascii="Times New Roman" w:hAnsi="Times New Roman" w:cs="Times New Roman"/>
                <w:color w:val="FF0000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FF0000"/>
                <w:sz w:val="20"/>
                <w:szCs w:val="20"/>
                <w:shd w:val="clear" w:color="auto" w:fill="FFFFFF"/>
              </w:rPr>
              <w:t>Работы по установке ставней и навесов</w:t>
            </w:r>
          </w:p>
        </w:tc>
      </w:tr>
      <w:tr w14:paraId="05094C0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  <w:jc w:val="center"/>
        </w:trPr>
        <w:tc>
          <w:tcPr>
            <w:tcW w:w="5098" w:type="dxa"/>
          </w:tcPr>
          <w:p w14:paraId="3BF6AC74">
            <w:pPr>
              <w:spacing w:line="226" w:lineRule="auto"/>
              <w:ind w:firstLine="0"/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  <w:t>Объем (количество)</w:t>
            </w:r>
          </w:p>
        </w:tc>
        <w:tc>
          <w:tcPr>
            <w:tcW w:w="5108" w:type="dxa"/>
          </w:tcPr>
          <w:p w14:paraId="25575831">
            <w:pPr>
              <w:ind w:firstLine="0"/>
              <w:rPr>
                <w:rFonts w:ascii="Times New Roman" w:hAnsi="Times New Roman" w:cs="Times New Roman" w:eastAsiaTheme="minorEastAsia"/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 w:eastAsiaTheme="minorEastAsia"/>
                <w:color w:val="FF0000"/>
                <w:sz w:val="20"/>
                <w:szCs w:val="20"/>
                <w:lang w:val="ru-RU"/>
              </w:rPr>
              <w:t>1</w:t>
            </w:r>
            <w:r>
              <w:rPr>
                <w:rFonts w:ascii="Times New Roman" w:hAnsi="Times New Roman" w:cs="Times New Roman" w:eastAsiaTheme="minorEastAsia"/>
                <w:color w:val="FF0000"/>
                <w:sz w:val="20"/>
                <w:szCs w:val="20"/>
              </w:rPr>
              <w:t xml:space="preserve"> ед</w:t>
            </w:r>
          </w:p>
        </w:tc>
      </w:tr>
      <w:tr w14:paraId="4262C5A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  <w:jc w:val="center"/>
        </w:trPr>
        <w:tc>
          <w:tcPr>
            <w:tcW w:w="5098" w:type="dxa"/>
          </w:tcPr>
          <w:p w14:paraId="46D424B1">
            <w:pPr>
              <w:spacing w:line="226" w:lineRule="auto"/>
              <w:ind w:firstLine="0"/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  <w:t>Срок (сроки) поставки товаров (выполнения работ, оказания услуг)</w:t>
            </w:r>
          </w:p>
        </w:tc>
        <w:tc>
          <w:tcPr>
            <w:tcW w:w="5108" w:type="dxa"/>
          </w:tcPr>
          <w:p w14:paraId="402CEFCB">
            <w:pPr>
              <w:ind w:firstLine="0"/>
              <w:rPr>
                <w:rFonts w:hint="default" w:ascii="Times New Roman" w:hAnsi="Times New Roman" w:cs="Times New Roman" w:eastAsiaTheme="minorEastAsia"/>
                <w:color w:val="FF0000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 w:eastAsiaTheme="minorEastAsia"/>
                <w:color w:val="FF0000"/>
                <w:sz w:val="20"/>
                <w:szCs w:val="20"/>
                <w:lang w:val="ru-RU"/>
              </w:rPr>
              <w:t>2 рабочих дня c даты заключения договора.</w:t>
            </w:r>
          </w:p>
        </w:tc>
      </w:tr>
      <w:tr w14:paraId="09780EB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  <w:jc w:val="center"/>
        </w:trPr>
        <w:tc>
          <w:tcPr>
            <w:tcW w:w="5098" w:type="dxa"/>
          </w:tcPr>
          <w:p w14:paraId="33F45415">
            <w:pPr>
              <w:spacing w:line="226" w:lineRule="auto"/>
              <w:ind w:firstLine="0"/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  <w:t>Место оказания услуг (выполнения работ)</w:t>
            </w:r>
          </w:p>
        </w:tc>
        <w:tc>
          <w:tcPr>
            <w:tcW w:w="5108" w:type="dxa"/>
          </w:tcPr>
          <w:p w14:paraId="4438700C">
            <w:pPr>
              <w:spacing w:line="226" w:lineRule="auto"/>
              <w:ind w:firstLine="0"/>
              <w:rPr>
                <w:rFonts w:hint="default" w:ascii="Times New Roman" w:hAnsi="Times New Roman" w:cs="Times New Roman" w:eastAsiaTheme="minorEastAsia"/>
                <w:color w:val="FF0000"/>
                <w:sz w:val="20"/>
                <w:szCs w:val="20"/>
                <w:lang w:val="ru-RU" w:eastAsia="ru-RU"/>
              </w:rPr>
            </w:pPr>
            <w:r>
              <w:rPr>
                <w:rFonts w:hint="default" w:ascii="Times New Roman" w:hAnsi="Times New Roman" w:cs="Times New Roman" w:eastAsiaTheme="minorEastAsia"/>
                <w:color w:val="FF0000"/>
                <w:sz w:val="20"/>
                <w:szCs w:val="20"/>
                <w:lang w:val="ru-RU" w:eastAsia="ru-RU"/>
              </w:rPr>
              <w:t>ул.Никифорова, 19</w:t>
            </w:r>
          </w:p>
        </w:tc>
      </w:tr>
      <w:tr w14:paraId="50AAFFC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  <w:jc w:val="center"/>
        </w:trPr>
        <w:tc>
          <w:tcPr>
            <w:tcW w:w="5098" w:type="dxa"/>
          </w:tcPr>
          <w:p w14:paraId="0E0A1FAC">
            <w:pPr>
              <w:spacing w:line="226" w:lineRule="auto"/>
              <w:ind w:firstLine="0"/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  <w:t xml:space="preserve">Предельная стоимость государственной закупки </w:t>
            </w:r>
          </w:p>
        </w:tc>
        <w:tc>
          <w:tcPr>
            <w:tcW w:w="5108" w:type="dxa"/>
          </w:tcPr>
          <w:p w14:paraId="70BF2622">
            <w:pPr>
              <w:spacing w:line="233" w:lineRule="auto"/>
              <w:ind w:firstLine="0"/>
              <w:jc w:val="left"/>
              <w:rPr>
                <w:rFonts w:ascii="Times New Roman" w:hAnsi="Times New Roman" w:eastAsia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FF0000"/>
                <w:sz w:val="20"/>
                <w:szCs w:val="20"/>
                <w:lang w:val="en-US" w:eastAsia="ru-RU"/>
              </w:rPr>
              <w:t xml:space="preserve">8 782 руб. 79 коп.  </w:t>
            </w:r>
            <w:r>
              <w:rPr>
                <w:rFonts w:ascii="Times New Roman" w:hAnsi="Times New Roman" w:eastAsia="Times New Roman" w:cs="Times New Roman"/>
                <w:color w:val="FF0000"/>
                <w:sz w:val="20"/>
                <w:szCs w:val="20"/>
                <w:lang w:eastAsia="ru-RU"/>
              </w:rPr>
              <w:t>с НДС</w:t>
            </w:r>
          </w:p>
        </w:tc>
      </w:tr>
      <w:tr w14:paraId="0CA34EA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  <w:jc w:val="center"/>
        </w:trPr>
        <w:tc>
          <w:tcPr>
            <w:tcW w:w="5098" w:type="dxa"/>
          </w:tcPr>
          <w:p w14:paraId="7E66B332">
            <w:pPr>
              <w:spacing w:line="226" w:lineRule="auto"/>
              <w:ind w:firstLine="0"/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  <w:t>Источник финансирования государственной закупки</w:t>
            </w:r>
          </w:p>
        </w:tc>
        <w:tc>
          <w:tcPr>
            <w:tcW w:w="5108" w:type="dxa"/>
          </w:tcPr>
          <w:p w14:paraId="5D1F884B">
            <w:pPr>
              <w:widowControl w:val="0"/>
              <w:spacing w:line="226" w:lineRule="auto"/>
              <w:ind w:firstLine="0"/>
              <w:rPr>
                <w:rFonts w:ascii="Times New Roman" w:hAnsi="Times New Roman" w:cs="Times New Roman" w:eastAsiaTheme="minorEastAsia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color w:val="FF0000"/>
                <w:sz w:val="20"/>
                <w:szCs w:val="20"/>
                <w:lang w:eastAsia="ru-RU"/>
              </w:rPr>
              <w:t>Местный бюджет</w:t>
            </w:r>
          </w:p>
        </w:tc>
      </w:tr>
      <w:tr w14:paraId="3DE7241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" w:hRule="atLeast"/>
          <w:jc w:val="center"/>
        </w:trPr>
        <w:tc>
          <w:tcPr>
            <w:tcW w:w="10206" w:type="dxa"/>
            <w:gridSpan w:val="2"/>
          </w:tcPr>
          <w:p w14:paraId="52A576B0">
            <w:pPr>
              <w:widowControl w:val="0"/>
              <w:spacing w:line="226" w:lineRule="auto"/>
              <w:ind w:firstLine="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II. ОПИСАНИЕ ПРЕДМЕТА ГОСУДАРСТВЕННОЙ ЗАКУПКИ</w:t>
            </w:r>
          </w:p>
        </w:tc>
      </w:tr>
      <w:tr w14:paraId="50F02A0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  <w:jc w:val="center"/>
        </w:trPr>
        <w:tc>
          <w:tcPr>
            <w:tcW w:w="5098" w:type="dxa"/>
          </w:tcPr>
          <w:p w14:paraId="3AD98824">
            <w:pPr>
              <w:spacing w:line="226" w:lineRule="auto"/>
              <w:ind w:firstLine="0"/>
              <w:rPr>
                <w:rFonts w:ascii="Times New Roman" w:hAnsi="Times New Roman" w:cs="Times New Roman" w:eastAsiaTheme="minorEastAsia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Описание предмета государственной закупки, а также перечень документов и (или) сведений, подтверждающих соответствие предмету государственной закупки и требованиям к предмету государственной закупки</w:t>
            </w:r>
          </w:p>
        </w:tc>
        <w:tc>
          <w:tcPr>
            <w:tcW w:w="5108" w:type="dxa"/>
          </w:tcPr>
          <w:p w14:paraId="3087572F">
            <w:pPr>
              <w:pStyle w:val="25"/>
              <w:spacing w:line="226" w:lineRule="auto"/>
              <w:jc w:val="both"/>
              <w:rPr>
                <w:rFonts w:hint="default" w:ascii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hAnsi="Times New Roman" w:cs="Times New Roman"/>
                <w:color w:val="FF0000"/>
              </w:rPr>
              <w:t>Описание предмета закупки указано в техническом задании, дефектн</w:t>
            </w:r>
            <w:r>
              <w:rPr>
                <w:rFonts w:ascii="Times New Roman" w:hAnsi="Times New Roman" w:cs="Times New Roman"/>
                <w:color w:val="FF0000"/>
                <w:lang w:val="ru-RU"/>
              </w:rPr>
              <w:t>ом</w:t>
            </w:r>
            <w:r>
              <w:rPr>
                <w:rFonts w:ascii="Times New Roman" w:hAnsi="Times New Roman" w:cs="Times New Roman"/>
                <w:color w:val="FF0000"/>
              </w:rPr>
              <w:t xml:space="preserve"> акт</w:t>
            </w:r>
            <w:r>
              <w:rPr>
                <w:rFonts w:ascii="Times New Roman" w:hAnsi="Times New Roman" w:cs="Times New Roman"/>
                <w:color w:val="FF0000"/>
                <w:lang w:val="ru-RU"/>
              </w:rPr>
              <w:t>е</w:t>
            </w:r>
            <w:r>
              <w:rPr>
                <w:rFonts w:hint="default" w:ascii="Times New Roman" w:hAnsi="Times New Roman" w:cs="Times New Roman"/>
                <w:color w:val="FF0000"/>
                <w:lang w:val="ru-RU"/>
              </w:rPr>
              <w:t xml:space="preserve">, </w:t>
            </w:r>
            <w:r>
              <w:rPr>
                <w:rFonts w:ascii="Times New Roman" w:hAnsi="Times New Roman" w:cs="Times New Roman"/>
                <w:color w:val="FF0000"/>
                <w:lang w:val="ru-RU"/>
              </w:rPr>
              <w:t>локальной</w:t>
            </w:r>
            <w:r>
              <w:rPr>
                <w:rFonts w:hint="default" w:ascii="Times New Roman" w:hAnsi="Times New Roman" w:cs="Times New Roman"/>
                <w:color w:val="FF0000"/>
                <w:lang w:val="ru-RU"/>
              </w:rPr>
              <w:t xml:space="preserve"> смете.</w:t>
            </w:r>
          </w:p>
          <w:p w14:paraId="6E9249C6">
            <w:pPr>
              <w:pStyle w:val="25"/>
              <w:spacing w:line="226" w:lineRule="auto"/>
              <w:jc w:val="both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>Гарантийный срок 5 лет.</w:t>
            </w:r>
          </w:p>
        </w:tc>
      </w:tr>
      <w:tr w14:paraId="1BC0466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  <w:jc w:val="center"/>
        </w:trPr>
        <w:tc>
          <w:tcPr>
            <w:tcW w:w="5098" w:type="dxa"/>
          </w:tcPr>
          <w:p w14:paraId="2F4E5CD5">
            <w:pPr>
              <w:spacing w:line="226" w:lineRule="auto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Порядок формирования цены предложения</w:t>
            </w:r>
          </w:p>
        </w:tc>
        <w:tc>
          <w:tcPr>
            <w:tcW w:w="5108" w:type="dxa"/>
          </w:tcPr>
          <w:p w14:paraId="420707EE">
            <w:pPr>
              <w:widowControl w:val="0"/>
              <w:spacing w:line="226" w:lineRule="auto"/>
              <w:ind w:firstLine="0"/>
              <w:rPr>
                <w:rFonts w:ascii="Times New Roman" w:hAnsi="Times New Roman" w:eastAsia="Times New Roman" w:cs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eastAsia="Calibri" w:cs="Times New Roman"/>
                <w:color w:val="FF0000"/>
                <w:sz w:val="20"/>
                <w:szCs w:val="20"/>
              </w:rPr>
              <w:t>В соответствии с техническим заданием</w:t>
            </w:r>
          </w:p>
        </w:tc>
      </w:tr>
    </w:tbl>
    <w:p w14:paraId="3DDBE1D4">
      <w:pPr>
        <w:ind w:firstLine="0"/>
        <w:rPr>
          <w:rFonts w:hint="default" w:ascii="Times New Roman" w:hAnsi="Times New Roman"/>
          <w:lang w:val="ru-RU"/>
        </w:rPr>
      </w:pPr>
    </w:p>
    <w:p w14:paraId="74E21CF2">
      <w:pPr>
        <w:ind w:firstLine="0"/>
        <w:rPr>
          <w:rFonts w:hint="default" w:ascii="Times New Roman" w:hAnsi="Times New Roman"/>
          <w:lang w:val="ru-RU"/>
        </w:rPr>
      </w:pPr>
      <w:r>
        <w:rPr>
          <w:rFonts w:hint="default" w:ascii="Times New Roman" w:hAnsi="Times New Roman"/>
          <w:lang w:val="ru-RU"/>
        </w:rPr>
        <w:t>Согласовано</w:t>
      </w:r>
      <w:r>
        <w:rPr>
          <w:rFonts w:hint="default" w:ascii="Times New Roman" w:hAnsi="Times New Roman"/>
          <w:lang w:val="en-US"/>
        </w:rPr>
        <w:t>:</w:t>
      </w:r>
    </w:p>
    <w:p w14:paraId="42B4A18F">
      <w:pPr>
        <w:ind w:firstLine="0"/>
        <w:rPr>
          <w:rFonts w:hint="default" w:ascii="Times New Roman" w:hAnsi="Times New Roman"/>
          <w:lang w:val="ru-RU"/>
        </w:rPr>
      </w:pPr>
      <w:r>
        <w:rPr>
          <w:rFonts w:hint="default" w:ascii="Times New Roman" w:hAnsi="Times New Roman"/>
          <w:lang w:val="ru-RU"/>
        </w:rPr>
        <w:t>Начальник управления ЦХО</w:t>
      </w:r>
      <w:r>
        <w:rPr>
          <w:rFonts w:hint="default" w:ascii="Times New Roman" w:hAnsi="Times New Roman"/>
          <w:lang w:val="ru-RU"/>
        </w:rPr>
        <w:tab/>
      </w:r>
      <w:r>
        <w:rPr>
          <w:rFonts w:hint="default" w:ascii="Times New Roman" w:hAnsi="Times New Roman"/>
          <w:lang w:val="ru-RU"/>
        </w:rPr>
        <w:tab/>
      </w:r>
      <w:r>
        <w:rPr>
          <w:rFonts w:hint="default" w:ascii="Times New Roman" w:hAnsi="Times New Roman"/>
          <w:lang w:val="ru-RU"/>
        </w:rPr>
        <w:tab/>
      </w:r>
      <w:r>
        <w:rPr>
          <w:rFonts w:hint="default" w:ascii="Times New Roman" w:hAnsi="Times New Roman"/>
          <w:lang w:val="ru-RU"/>
        </w:rPr>
        <w:tab/>
      </w:r>
      <w:r>
        <w:rPr>
          <w:rFonts w:hint="default" w:ascii="Times New Roman" w:hAnsi="Times New Roman"/>
          <w:lang w:val="ru-RU"/>
        </w:rPr>
        <w:tab/>
      </w:r>
      <w:r>
        <w:rPr>
          <w:rFonts w:hint="default" w:ascii="Times New Roman" w:hAnsi="Times New Roman"/>
          <w:lang w:val="ru-RU"/>
        </w:rPr>
        <w:tab/>
      </w:r>
      <w:r>
        <w:rPr>
          <w:rFonts w:hint="default" w:ascii="Times New Roman" w:hAnsi="Times New Roman"/>
          <w:lang w:val="ru-RU"/>
        </w:rPr>
        <w:tab/>
      </w:r>
      <w:r>
        <w:rPr>
          <w:rFonts w:hint="default" w:ascii="Times New Roman" w:hAnsi="Times New Roman"/>
          <w:lang w:val="ru-RU"/>
        </w:rPr>
        <w:t>И.С.Бугакова</w:t>
      </w:r>
    </w:p>
    <w:p w14:paraId="36AC0212">
      <w:pPr>
        <w:ind w:firstLine="0"/>
        <w:rPr>
          <w:rFonts w:hint="default" w:ascii="Times New Roman" w:hAnsi="Times New Roman"/>
          <w:lang w:val="en-US"/>
        </w:rPr>
      </w:pPr>
      <w:r>
        <w:rPr>
          <w:rFonts w:hint="default" w:ascii="Times New Roman" w:hAnsi="Times New Roman"/>
          <w:lang w:val="ru-RU"/>
        </w:rPr>
        <w:t>Подготовил</w:t>
      </w:r>
      <w:r>
        <w:rPr>
          <w:rFonts w:hint="default" w:ascii="Times New Roman" w:hAnsi="Times New Roman"/>
          <w:lang w:val="en-US"/>
        </w:rPr>
        <w:t>:</w:t>
      </w:r>
    </w:p>
    <w:p w14:paraId="0B84E4D3">
      <w:pPr>
        <w:ind w:firstLine="0"/>
        <w:rPr>
          <w:rFonts w:ascii="Times New Roman" w:hAnsi="Times New Roman"/>
        </w:rPr>
      </w:pPr>
      <w:r>
        <w:rPr>
          <w:rFonts w:ascii="Times New Roman" w:hAnsi="Times New Roman"/>
          <w:lang w:val="ru-RU"/>
        </w:rPr>
        <w:t>Зам</w:t>
      </w:r>
      <w:r>
        <w:rPr>
          <w:rFonts w:hint="default" w:ascii="Times New Roman" w:hAnsi="Times New Roman"/>
          <w:lang w:val="ru-RU"/>
        </w:rPr>
        <w:t xml:space="preserve"> начальника </w:t>
      </w:r>
      <w:r>
        <w:rPr>
          <w:rFonts w:ascii="Times New Roman" w:hAnsi="Times New Roman"/>
        </w:rPr>
        <w:t>УЦХО: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Ю.М.Заграбский</w:t>
      </w:r>
    </w:p>
    <w:p w14:paraId="76C73FBC">
      <w:pPr>
        <w:ind w:left="0" w:leftChars="0" w:firstLine="0" w:firstLineChars="0"/>
        <w:rPr>
          <w:rFonts w:hint="default" w:ascii="Times New Roman" w:hAnsi="Times New Roman"/>
          <w:sz w:val="16"/>
          <w:szCs w:val="16"/>
          <w:lang w:val="ru-RU"/>
        </w:rPr>
      </w:pPr>
      <w:r>
        <w:rPr>
          <w:rFonts w:ascii="Times New Roman" w:hAnsi="Times New Roman"/>
          <w:sz w:val="16"/>
          <w:szCs w:val="16"/>
          <w:lang w:val="ru-RU"/>
        </w:rPr>
        <w:t>Электронный</w:t>
      </w:r>
      <w:r>
        <w:rPr>
          <w:rFonts w:hint="default" w:ascii="Times New Roman" w:hAnsi="Times New Roman"/>
          <w:sz w:val="16"/>
          <w:szCs w:val="16"/>
          <w:lang w:val="ru-RU"/>
        </w:rPr>
        <w:t xml:space="preserve"> документ соответствует оригиналу</w:t>
      </w:r>
    </w:p>
    <w:p w14:paraId="2383023D">
      <w:pPr>
        <w:widowControl w:val="0"/>
        <w:tabs>
          <w:tab w:val="left" w:pos="1120"/>
        </w:tabs>
        <w:adjustRightInd w:val="0"/>
        <w:ind w:firstLine="0"/>
        <w:rPr>
          <w:rFonts w:ascii="Times New Roman" w:hAnsi="Times New Roman" w:eastAsia="Times New Roman" w:cs="Times New Roman"/>
          <w:color w:val="000000"/>
          <w:lang w:eastAsia="ru-RU"/>
        </w:rPr>
      </w:pPr>
    </w:p>
    <w:p w14:paraId="0B425315">
      <w:pPr>
        <w:widowControl w:val="0"/>
        <w:tabs>
          <w:tab w:val="left" w:pos="1120"/>
        </w:tabs>
        <w:adjustRightInd w:val="0"/>
        <w:ind w:firstLine="0"/>
        <w:rPr>
          <w:rFonts w:ascii="Times New Roman" w:hAnsi="Times New Roman" w:eastAsia="Times New Roman" w:cs="Times New Roman"/>
          <w:color w:val="000000"/>
          <w:lang w:eastAsia="ru-RU"/>
        </w:rPr>
      </w:pP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454" w:right="851" w:bottom="425" w:left="851" w:header="709" w:footer="709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CC"/>
    <w:family w:val="swiss"/>
    <w:pitch w:val="default"/>
    <w:sig w:usb0="E4002EFF" w:usb1="C000247B" w:usb2="00000009" w:usb3="00000000" w:csb0="200001FF" w:csb1="00000000"/>
  </w:font>
  <w:font w:name="等线 Light">
    <w:altName w:val="Liberation Mono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Liberation Mono">
    <w:panose1 w:val="02070409020205020404"/>
    <w:charset w:val="00"/>
    <w:family w:val="auto"/>
    <w:pitch w:val="default"/>
    <w:sig w:usb0="E0000AFF" w:usb1="400078FF" w:usb2="00000001" w:usb3="00000000" w:csb0="600001BF" w:csb1="DFF70000"/>
  </w:font>
  <w:font w:name="Segoe UI">
    <w:panose1 w:val="020B0502040204020203"/>
    <w:charset w:val="CC"/>
    <w:family w:val="swiss"/>
    <w:pitch w:val="default"/>
    <w:sig w:usb0="E4002EFF" w:usb1="C000E47F" w:usb2="00000009" w:usb3="00000000" w:csb0="200001FF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Calibri Light">
    <w:panose1 w:val="020F0302020204030204"/>
    <w:charset w:val="00"/>
    <w:family w:val="auto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656529162"/>
      <w:docPartObj>
        <w:docPartGallery w:val="autotext"/>
      </w:docPartObj>
    </w:sdtPr>
    <w:sdtContent>
      <w:p w14:paraId="5654ACDB">
        <w:pPr>
          <w:pStyle w:val="12"/>
          <w:jc w:val="center"/>
        </w:pPr>
        <w:r>
          <w:rPr>
            <w:rFonts w:ascii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hAnsi="Times New Roman" w:cs="Times New Roman"/>
            <w:sz w:val="24"/>
            <w:szCs w:val="24"/>
          </w:rPr>
          <w:instrText xml:space="preserve">PAGE   \* MERGEFORMAT</w:instrText>
        </w:r>
        <w:r>
          <w:rPr>
            <w:rFonts w:ascii="Times New Roman" w:hAnsi="Times New Roman" w:cs="Times New Roman"/>
            <w:sz w:val="24"/>
            <w:szCs w:val="24"/>
          </w:rPr>
          <w:fldChar w:fldCharType="separate"/>
        </w:r>
        <w:r>
          <w:rPr>
            <w:rFonts w:ascii="Times New Roman" w:hAnsi="Times New Roman" w:cs="Times New Roman"/>
            <w:sz w:val="24"/>
            <w:szCs w:val="24"/>
          </w:rPr>
          <w:t>5</w:t>
        </w:r>
        <w:r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3D0FC25F">
    <w:pPr>
      <w:pStyle w:val="1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BD535AD">
    <w:pPr>
      <w:pStyle w:val="1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3CED5F4">
    <w:pPr>
      <w:pStyle w:val="1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D3A9F9B">
    <w:pPr>
      <w:pStyle w:val="1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5487ACE">
    <w:pPr>
      <w:pStyle w:val="1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D836B50">
    <w:pPr>
      <w:pStyle w:val="1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bordersDoNotSurroundHeader w:val="0"/>
  <w:bordersDoNotSurroundFooter w:val="0"/>
  <w:documentProtection w:enforcement="0"/>
  <w:defaultTabStop w:val="72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47E7"/>
    <w:rsid w:val="00000BDF"/>
    <w:rsid w:val="00004257"/>
    <w:rsid w:val="00011C49"/>
    <w:rsid w:val="000158A1"/>
    <w:rsid w:val="0002304B"/>
    <w:rsid w:val="0003200C"/>
    <w:rsid w:val="00032CC4"/>
    <w:rsid w:val="00033380"/>
    <w:rsid w:val="00033B98"/>
    <w:rsid w:val="00035BEA"/>
    <w:rsid w:val="00036B8A"/>
    <w:rsid w:val="00046EAC"/>
    <w:rsid w:val="000561E9"/>
    <w:rsid w:val="00056916"/>
    <w:rsid w:val="000627CE"/>
    <w:rsid w:val="00066FFF"/>
    <w:rsid w:val="000674B7"/>
    <w:rsid w:val="000707B5"/>
    <w:rsid w:val="000726FC"/>
    <w:rsid w:val="00072950"/>
    <w:rsid w:val="00073C6B"/>
    <w:rsid w:val="000750F6"/>
    <w:rsid w:val="000834D3"/>
    <w:rsid w:val="000C1BC1"/>
    <w:rsid w:val="000C1D61"/>
    <w:rsid w:val="000C3F09"/>
    <w:rsid w:val="000C4CE5"/>
    <w:rsid w:val="000C5A06"/>
    <w:rsid w:val="000C6776"/>
    <w:rsid w:val="000E0319"/>
    <w:rsid w:val="00101286"/>
    <w:rsid w:val="00106FD9"/>
    <w:rsid w:val="0011065A"/>
    <w:rsid w:val="00117080"/>
    <w:rsid w:val="00124C02"/>
    <w:rsid w:val="0012702E"/>
    <w:rsid w:val="001320FA"/>
    <w:rsid w:val="00154D06"/>
    <w:rsid w:val="001557CF"/>
    <w:rsid w:val="00173C42"/>
    <w:rsid w:val="001740F1"/>
    <w:rsid w:val="001756FD"/>
    <w:rsid w:val="00180862"/>
    <w:rsid w:val="0018617F"/>
    <w:rsid w:val="00186449"/>
    <w:rsid w:val="001910CD"/>
    <w:rsid w:val="001A2953"/>
    <w:rsid w:val="001A771A"/>
    <w:rsid w:val="001A7A68"/>
    <w:rsid w:val="001B1321"/>
    <w:rsid w:val="001B2723"/>
    <w:rsid w:val="001B27FF"/>
    <w:rsid w:val="001C24DA"/>
    <w:rsid w:val="001C29D7"/>
    <w:rsid w:val="001C2B80"/>
    <w:rsid w:val="001C3996"/>
    <w:rsid w:val="001C3AEF"/>
    <w:rsid w:val="001C577B"/>
    <w:rsid w:val="001D2D95"/>
    <w:rsid w:val="001D5B9B"/>
    <w:rsid w:val="001E1B90"/>
    <w:rsid w:val="001F0AF8"/>
    <w:rsid w:val="00205E59"/>
    <w:rsid w:val="00216BD8"/>
    <w:rsid w:val="002206D4"/>
    <w:rsid w:val="0022079F"/>
    <w:rsid w:val="002258E8"/>
    <w:rsid w:val="0022637B"/>
    <w:rsid w:val="0023046D"/>
    <w:rsid w:val="00233D7F"/>
    <w:rsid w:val="00233F90"/>
    <w:rsid w:val="002343C9"/>
    <w:rsid w:val="00237AAB"/>
    <w:rsid w:val="0024304B"/>
    <w:rsid w:val="00245B67"/>
    <w:rsid w:val="00246FE9"/>
    <w:rsid w:val="002470A2"/>
    <w:rsid w:val="00255E75"/>
    <w:rsid w:val="0026238E"/>
    <w:rsid w:val="00262586"/>
    <w:rsid w:val="00266838"/>
    <w:rsid w:val="002830B4"/>
    <w:rsid w:val="00291E1D"/>
    <w:rsid w:val="00293A0E"/>
    <w:rsid w:val="00293FA0"/>
    <w:rsid w:val="002C36C3"/>
    <w:rsid w:val="002C66EE"/>
    <w:rsid w:val="002C6AEE"/>
    <w:rsid w:val="002D4C58"/>
    <w:rsid w:val="002D7FDF"/>
    <w:rsid w:val="002F22B3"/>
    <w:rsid w:val="002F23B0"/>
    <w:rsid w:val="002F3545"/>
    <w:rsid w:val="002F41B8"/>
    <w:rsid w:val="002F528C"/>
    <w:rsid w:val="002F6F4D"/>
    <w:rsid w:val="003020E9"/>
    <w:rsid w:val="0031300A"/>
    <w:rsid w:val="00316806"/>
    <w:rsid w:val="00316EAB"/>
    <w:rsid w:val="00320D04"/>
    <w:rsid w:val="00322B3A"/>
    <w:rsid w:val="00322CBD"/>
    <w:rsid w:val="0032343E"/>
    <w:rsid w:val="00323599"/>
    <w:rsid w:val="003266FB"/>
    <w:rsid w:val="00336207"/>
    <w:rsid w:val="00344BDE"/>
    <w:rsid w:val="00362014"/>
    <w:rsid w:val="00365B28"/>
    <w:rsid w:val="003708B6"/>
    <w:rsid w:val="003824A6"/>
    <w:rsid w:val="0039181F"/>
    <w:rsid w:val="00391F65"/>
    <w:rsid w:val="003A17A1"/>
    <w:rsid w:val="003B6E4C"/>
    <w:rsid w:val="003C1D41"/>
    <w:rsid w:val="003C51F6"/>
    <w:rsid w:val="003D3D07"/>
    <w:rsid w:val="003D3DE7"/>
    <w:rsid w:val="003D4A42"/>
    <w:rsid w:val="003D7643"/>
    <w:rsid w:val="003E4E21"/>
    <w:rsid w:val="003E56AF"/>
    <w:rsid w:val="003E6647"/>
    <w:rsid w:val="003F02C6"/>
    <w:rsid w:val="003F1327"/>
    <w:rsid w:val="003F195C"/>
    <w:rsid w:val="003F3EC5"/>
    <w:rsid w:val="00401036"/>
    <w:rsid w:val="0040261B"/>
    <w:rsid w:val="00416163"/>
    <w:rsid w:val="004172DF"/>
    <w:rsid w:val="0041756F"/>
    <w:rsid w:val="00425129"/>
    <w:rsid w:val="00440750"/>
    <w:rsid w:val="00441221"/>
    <w:rsid w:val="00441327"/>
    <w:rsid w:val="00444C74"/>
    <w:rsid w:val="00446FC5"/>
    <w:rsid w:val="00447A1E"/>
    <w:rsid w:val="0045402E"/>
    <w:rsid w:val="004543B2"/>
    <w:rsid w:val="004551CB"/>
    <w:rsid w:val="004558D0"/>
    <w:rsid w:val="00463A70"/>
    <w:rsid w:val="00471685"/>
    <w:rsid w:val="00473AAC"/>
    <w:rsid w:val="00474EF0"/>
    <w:rsid w:val="004755C5"/>
    <w:rsid w:val="00483376"/>
    <w:rsid w:val="00483E50"/>
    <w:rsid w:val="004854C1"/>
    <w:rsid w:val="00495089"/>
    <w:rsid w:val="004A0125"/>
    <w:rsid w:val="004A0AAD"/>
    <w:rsid w:val="004A1C21"/>
    <w:rsid w:val="004A35BF"/>
    <w:rsid w:val="004C4D51"/>
    <w:rsid w:val="004C666F"/>
    <w:rsid w:val="004C740E"/>
    <w:rsid w:val="004D3DC4"/>
    <w:rsid w:val="004E07CB"/>
    <w:rsid w:val="004E1517"/>
    <w:rsid w:val="004E5239"/>
    <w:rsid w:val="004F187E"/>
    <w:rsid w:val="005035F6"/>
    <w:rsid w:val="00506539"/>
    <w:rsid w:val="00510AB1"/>
    <w:rsid w:val="00510B79"/>
    <w:rsid w:val="00511ED3"/>
    <w:rsid w:val="005149B3"/>
    <w:rsid w:val="00515DAF"/>
    <w:rsid w:val="0051668B"/>
    <w:rsid w:val="00520F64"/>
    <w:rsid w:val="00521F0C"/>
    <w:rsid w:val="00524499"/>
    <w:rsid w:val="00525482"/>
    <w:rsid w:val="00532E61"/>
    <w:rsid w:val="00535332"/>
    <w:rsid w:val="005414CC"/>
    <w:rsid w:val="00545954"/>
    <w:rsid w:val="005469BF"/>
    <w:rsid w:val="005476D4"/>
    <w:rsid w:val="00547BAD"/>
    <w:rsid w:val="00553574"/>
    <w:rsid w:val="00563F29"/>
    <w:rsid w:val="005652CB"/>
    <w:rsid w:val="00566E42"/>
    <w:rsid w:val="005705CB"/>
    <w:rsid w:val="005762E4"/>
    <w:rsid w:val="00576F23"/>
    <w:rsid w:val="00577B41"/>
    <w:rsid w:val="005800C0"/>
    <w:rsid w:val="0058148D"/>
    <w:rsid w:val="00583ED1"/>
    <w:rsid w:val="0058686D"/>
    <w:rsid w:val="0059096B"/>
    <w:rsid w:val="00591C24"/>
    <w:rsid w:val="00591FD3"/>
    <w:rsid w:val="005948C2"/>
    <w:rsid w:val="00595F02"/>
    <w:rsid w:val="005A025C"/>
    <w:rsid w:val="005A108E"/>
    <w:rsid w:val="005B0A1A"/>
    <w:rsid w:val="005B2A13"/>
    <w:rsid w:val="005B3D59"/>
    <w:rsid w:val="005C4F0F"/>
    <w:rsid w:val="005C55D0"/>
    <w:rsid w:val="005D0C17"/>
    <w:rsid w:val="005D31DE"/>
    <w:rsid w:val="005D63A7"/>
    <w:rsid w:val="005D70B6"/>
    <w:rsid w:val="00605344"/>
    <w:rsid w:val="00610EEF"/>
    <w:rsid w:val="00611710"/>
    <w:rsid w:val="0061591C"/>
    <w:rsid w:val="00617302"/>
    <w:rsid w:val="00620BF5"/>
    <w:rsid w:val="00622818"/>
    <w:rsid w:val="00624394"/>
    <w:rsid w:val="00635150"/>
    <w:rsid w:val="006404C4"/>
    <w:rsid w:val="00641707"/>
    <w:rsid w:val="00657BF8"/>
    <w:rsid w:val="00660C4E"/>
    <w:rsid w:val="006643AD"/>
    <w:rsid w:val="00670E6A"/>
    <w:rsid w:val="00673D38"/>
    <w:rsid w:val="0067493A"/>
    <w:rsid w:val="00674BED"/>
    <w:rsid w:val="00681709"/>
    <w:rsid w:val="00681D1D"/>
    <w:rsid w:val="006952A8"/>
    <w:rsid w:val="00696E13"/>
    <w:rsid w:val="006976A5"/>
    <w:rsid w:val="006A4081"/>
    <w:rsid w:val="006C6267"/>
    <w:rsid w:val="006C6DFF"/>
    <w:rsid w:val="006D4024"/>
    <w:rsid w:val="006D5330"/>
    <w:rsid w:val="006E1D63"/>
    <w:rsid w:val="006E2D3F"/>
    <w:rsid w:val="006F51F4"/>
    <w:rsid w:val="006F5C1F"/>
    <w:rsid w:val="007070A0"/>
    <w:rsid w:val="00707BFA"/>
    <w:rsid w:val="00721387"/>
    <w:rsid w:val="0072338B"/>
    <w:rsid w:val="0073294A"/>
    <w:rsid w:val="00737A34"/>
    <w:rsid w:val="00745C56"/>
    <w:rsid w:val="00747221"/>
    <w:rsid w:val="00763173"/>
    <w:rsid w:val="00765F34"/>
    <w:rsid w:val="00767673"/>
    <w:rsid w:val="007765BB"/>
    <w:rsid w:val="00784A5C"/>
    <w:rsid w:val="00786503"/>
    <w:rsid w:val="00787C9F"/>
    <w:rsid w:val="007914F5"/>
    <w:rsid w:val="007A0CC0"/>
    <w:rsid w:val="007A3B3C"/>
    <w:rsid w:val="007B2CED"/>
    <w:rsid w:val="007B7F47"/>
    <w:rsid w:val="007C21B1"/>
    <w:rsid w:val="007C2E74"/>
    <w:rsid w:val="007D1A0E"/>
    <w:rsid w:val="007D690D"/>
    <w:rsid w:val="007D7E86"/>
    <w:rsid w:val="007E1C62"/>
    <w:rsid w:val="007E57DF"/>
    <w:rsid w:val="007E6570"/>
    <w:rsid w:val="007F192C"/>
    <w:rsid w:val="0080246E"/>
    <w:rsid w:val="0082564E"/>
    <w:rsid w:val="008316A3"/>
    <w:rsid w:val="008325FF"/>
    <w:rsid w:val="008328E8"/>
    <w:rsid w:val="00834343"/>
    <w:rsid w:val="008411A2"/>
    <w:rsid w:val="00842130"/>
    <w:rsid w:val="00850155"/>
    <w:rsid w:val="0085395C"/>
    <w:rsid w:val="00855155"/>
    <w:rsid w:val="008613E5"/>
    <w:rsid w:val="00865403"/>
    <w:rsid w:val="00871200"/>
    <w:rsid w:val="00873A69"/>
    <w:rsid w:val="008753C3"/>
    <w:rsid w:val="0087668A"/>
    <w:rsid w:val="00876E7A"/>
    <w:rsid w:val="0088646C"/>
    <w:rsid w:val="00886B0E"/>
    <w:rsid w:val="00892E2C"/>
    <w:rsid w:val="0089324D"/>
    <w:rsid w:val="008967FF"/>
    <w:rsid w:val="008A5885"/>
    <w:rsid w:val="008B3252"/>
    <w:rsid w:val="008B54E9"/>
    <w:rsid w:val="008B68C1"/>
    <w:rsid w:val="008D39B9"/>
    <w:rsid w:val="008D3F3C"/>
    <w:rsid w:val="008E0FA2"/>
    <w:rsid w:val="008E4C0F"/>
    <w:rsid w:val="00900DE4"/>
    <w:rsid w:val="00914781"/>
    <w:rsid w:val="0092129B"/>
    <w:rsid w:val="00925B32"/>
    <w:rsid w:val="00930ADA"/>
    <w:rsid w:val="009333A9"/>
    <w:rsid w:val="00933925"/>
    <w:rsid w:val="009341A8"/>
    <w:rsid w:val="00941097"/>
    <w:rsid w:val="00954AC2"/>
    <w:rsid w:val="00954E5A"/>
    <w:rsid w:val="00955B1F"/>
    <w:rsid w:val="0096780A"/>
    <w:rsid w:val="009765F4"/>
    <w:rsid w:val="00990E0B"/>
    <w:rsid w:val="00993669"/>
    <w:rsid w:val="00994CA1"/>
    <w:rsid w:val="009A2C90"/>
    <w:rsid w:val="009A3D53"/>
    <w:rsid w:val="009A5414"/>
    <w:rsid w:val="009B1A87"/>
    <w:rsid w:val="009B6F42"/>
    <w:rsid w:val="009C1162"/>
    <w:rsid w:val="009C1720"/>
    <w:rsid w:val="009C59D4"/>
    <w:rsid w:val="009D4B0A"/>
    <w:rsid w:val="009E1709"/>
    <w:rsid w:val="009E462A"/>
    <w:rsid w:val="009F348A"/>
    <w:rsid w:val="009F3B5A"/>
    <w:rsid w:val="009F47E7"/>
    <w:rsid w:val="009F6F0F"/>
    <w:rsid w:val="00A073E5"/>
    <w:rsid w:val="00A1480A"/>
    <w:rsid w:val="00A162B2"/>
    <w:rsid w:val="00A1731E"/>
    <w:rsid w:val="00A27044"/>
    <w:rsid w:val="00A33515"/>
    <w:rsid w:val="00A427E4"/>
    <w:rsid w:val="00A474BC"/>
    <w:rsid w:val="00A522F0"/>
    <w:rsid w:val="00A55AB5"/>
    <w:rsid w:val="00A56394"/>
    <w:rsid w:val="00A623D3"/>
    <w:rsid w:val="00A712EA"/>
    <w:rsid w:val="00A73080"/>
    <w:rsid w:val="00A85884"/>
    <w:rsid w:val="00A916D1"/>
    <w:rsid w:val="00AA08C7"/>
    <w:rsid w:val="00AA2C9F"/>
    <w:rsid w:val="00AB011A"/>
    <w:rsid w:val="00AB3F80"/>
    <w:rsid w:val="00AB5DAD"/>
    <w:rsid w:val="00AC5120"/>
    <w:rsid w:val="00AD555B"/>
    <w:rsid w:val="00AE17DD"/>
    <w:rsid w:val="00AF21D5"/>
    <w:rsid w:val="00AF2DCF"/>
    <w:rsid w:val="00B0039C"/>
    <w:rsid w:val="00B018DD"/>
    <w:rsid w:val="00B06013"/>
    <w:rsid w:val="00B06614"/>
    <w:rsid w:val="00B06DA8"/>
    <w:rsid w:val="00B121A9"/>
    <w:rsid w:val="00B12B97"/>
    <w:rsid w:val="00B20122"/>
    <w:rsid w:val="00B23446"/>
    <w:rsid w:val="00B302DF"/>
    <w:rsid w:val="00B31FAB"/>
    <w:rsid w:val="00B34A3B"/>
    <w:rsid w:val="00B3643F"/>
    <w:rsid w:val="00B37D65"/>
    <w:rsid w:val="00B4276E"/>
    <w:rsid w:val="00B451CB"/>
    <w:rsid w:val="00B47CBC"/>
    <w:rsid w:val="00B50999"/>
    <w:rsid w:val="00B51072"/>
    <w:rsid w:val="00B55443"/>
    <w:rsid w:val="00B62949"/>
    <w:rsid w:val="00B62FBC"/>
    <w:rsid w:val="00B63472"/>
    <w:rsid w:val="00B670F7"/>
    <w:rsid w:val="00B76848"/>
    <w:rsid w:val="00B802A0"/>
    <w:rsid w:val="00B86566"/>
    <w:rsid w:val="00BA60B6"/>
    <w:rsid w:val="00BA7B5C"/>
    <w:rsid w:val="00BB287F"/>
    <w:rsid w:val="00BB4A1E"/>
    <w:rsid w:val="00BB5DC3"/>
    <w:rsid w:val="00BB6928"/>
    <w:rsid w:val="00BB6AC5"/>
    <w:rsid w:val="00BC3024"/>
    <w:rsid w:val="00BC6327"/>
    <w:rsid w:val="00BD15CF"/>
    <w:rsid w:val="00BD26E9"/>
    <w:rsid w:val="00BD5037"/>
    <w:rsid w:val="00BD637C"/>
    <w:rsid w:val="00BD67C8"/>
    <w:rsid w:val="00BD6F97"/>
    <w:rsid w:val="00BE0616"/>
    <w:rsid w:val="00BE4298"/>
    <w:rsid w:val="00BE6A94"/>
    <w:rsid w:val="00BF39EB"/>
    <w:rsid w:val="00BF3BBC"/>
    <w:rsid w:val="00BF3F2E"/>
    <w:rsid w:val="00BF7E2A"/>
    <w:rsid w:val="00C055B7"/>
    <w:rsid w:val="00C205CC"/>
    <w:rsid w:val="00C23B3C"/>
    <w:rsid w:val="00C25BAB"/>
    <w:rsid w:val="00C31727"/>
    <w:rsid w:val="00C5028E"/>
    <w:rsid w:val="00C52A5F"/>
    <w:rsid w:val="00C53ACC"/>
    <w:rsid w:val="00C560B4"/>
    <w:rsid w:val="00C66B21"/>
    <w:rsid w:val="00C70608"/>
    <w:rsid w:val="00C8456B"/>
    <w:rsid w:val="00C868D7"/>
    <w:rsid w:val="00CA1655"/>
    <w:rsid w:val="00CB7802"/>
    <w:rsid w:val="00CC121B"/>
    <w:rsid w:val="00CD322C"/>
    <w:rsid w:val="00CD323F"/>
    <w:rsid w:val="00CE1BC9"/>
    <w:rsid w:val="00CF3599"/>
    <w:rsid w:val="00CF7D26"/>
    <w:rsid w:val="00D0365A"/>
    <w:rsid w:val="00D04736"/>
    <w:rsid w:val="00D2314A"/>
    <w:rsid w:val="00D27DB8"/>
    <w:rsid w:val="00D301C7"/>
    <w:rsid w:val="00D32819"/>
    <w:rsid w:val="00D44BDD"/>
    <w:rsid w:val="00D4565C"/>
    <w:rsid w:val="00D5113E"/>
    <w:rsid w:val="00D54E2D"/>
    <w:rsid w:val="00D5631A"/>
    <w:rsid w:val="00D56451"/>
    <w:rsid w:val="00D56A45"/>
    <w:rsid w:val="00D61EF4"/>
    <w:rsid w:val="00D62E7C"/>
    <w:rsid w:val="00D66AB6"/>
    <w:rsid w:val="00D67732"/>
    <w:rsid w:val="00D75B65"/>
    <w:rsid w:val="00D76FCF"/>
    <w:rsid w:val="00D8031D"/>
    <w:rsid w:val="00D83E28"/>
    <w:rsid w:val="00D87B56"/>
    <w:rsid w:val="00D951A3"/>
    <w:rsid w:val="00DA0BA2"/>
    <w:rsid w:val="00DA1F16"/>
    <w:rsid w:val="00DB1F0B"/>
    <w:rsid w:val="00DB24D3"/>
    <w:rsid w:val="00DB321F"/>
    <w:rsid w:val="00DC11E7"/>
    <w:rsid w:val="00DC4591"/>
    <w:rsid w:val="00DC77E8"/>
    <w:rsid w:val="00DD1150"/>
    <w:rsid w:val="00DD3A24"/>
    <w:rsid w:val="00DE6AF8"/>
    <w:rsid w:val="00DF35F2"/>
    <w:rsid w:val="00DF410F"/>
    <w:rsid w:val="00DF4DEF"/>
    <w:rsid w:val="00E028B9"/>
    <w:rsid w:val="00E03E27"/>
    <w:rsid w:val="00E04E64"/>
    <w:rsid w:val="00E10FEF"/>
    <w:rsid w:val="00E1294D"/>
    <w:rsid w:val="00E21CAD"/>
    <w:rsid w:val="00E23D6D"/>
    <w:rsid w:val="00E30DC9"/>
    <w:rsid w:val="00E30EC3"/>
    <w:rsid w:val="00E37C47"/>
    <w:rsid w:val="00E400CD"/>
    <w:rsid w:val="00E45286"/>
    <w:rsid w:val="00E45421"/>
    <w:rsid w:val="00E5159F"/>
    <w:rsid w:val="00E56F58"/>
    <w:rsid w:val="00E66FA9"/>
    <w:rsid w:val="00E6764F"/>
    <w:rsid w:val="00E710E6"/>
    <w:rsid w:val="00E74EE4"/>
    <w:rsid w:val="00E83B15"/>
    <w:rsid w:val="00E90393"/>
    <w:rsid w:val="00E91DDF"/>
    <w:rsid w:val="00E95329"/>
    <w:rsid w:val="00EA1017"/>
    <w:rsid w:val="00EA2280"/>
    <w:rsid w:val="00EA3E6F"/>
    <w:rsid w:val="00EA5C67"/>
    <w:rsid w:val="00EB0799"/>
    <w:rsid w:val="00EB1E29"/>
    <w:rsid w:val="00EB5132"/>
    <w:rsid w:val="00EB6338"/>
    <w:rsid w:val="00EB7068"/>
    <w:rsid w:val="00EB7FD0"/>
    <w:rsid w:val="00EC0121"/>
    <w:rsid w:val="00EC3382"/>
    <w:rsid w:val="00EC4436"/>
    <w:rsid w:val="00EC5205"/>
    <w:rsid w:val="00EC6026"/>
    <w:rsid w:val="00ED0125"/>
    <w:rsid w:val="00EE2730"/>
    <w:rsid w:val="00EE6739"/>
    <w:rsid w:val="00EF24FF"/>
    <w:rsid w:val="00EF3F93"/>
    <w:rsid w:val="00EF53AC"/>
    <w:rsid w:val="00F03F31"/>
    <w:rsid w:val="00F04073"/>
    <w:rsid w:val="00F04BF5"/>
    <w:rsid w:val="00F05786"/>
    <w:rsid w:val="00F126CB"/>
    <w:rsid w:val="00F16A4F"/>
    <w:rsid w:val="00F17968"/>
    <w:rsid w:val="00F226B3"/>
    <w:rsid w:val="00F2586A"/>
    <w:rsid w:val="00F3240A"/>
    <w:rsid w:val="00F337D8"/>
    <w:rsid w:val="00F343BF"/>
    <w:rsid w:val="00F507EF"/>
    <w:rsid w:val="00F6038E"/>
    <w:rsid w:val="00F614B0"/>
    <w:rsid w:val="00F61613"/>
    <w:rsid w:val="00F6308A"/>
    <w:rsid w:val="00F66D2A"/>
    <w:rsid w:val="00F67B91"/>
    <w:rsid w:val="00F700A5"/>
    <w:rsid w:val="00F75F27"/>
    <w:rsid w:val="00F7674E"/>
    <w:rsid w:val="00F775B2"/>
    <w:rsid w:val="00F80E7C"/>
    <w:rsid w:val="00F92D0C"/>
    <w:rsid w:val="00F948F8"/>
    <w:rsid w:val="00FA0E5E"/>
    <w:rsid w:val="00FA12E8"/>
    <w:rsid w:val="00FA2161"/>
    <w:rsid w:val="00FA384C"/>
    <w:rsid w:val="00FB5C6D"/>
    <w:rsid w:val="00FB6E14"/>
    <w:rsid w:val="00FC1BEE"/>
    <w:rsid w:val="00FC4123"/>
    <w:rsid w:val="00FC7D2E"/>
    <w:rsid w:val="00FD16F5"/>
    <w:rsid w:val="00FD1AAF"/>
    <w:rsid w:val="00FE0D2D"/>
    <w:rsid w:val="00FE107E"/>
    <w:rsid w:val="00FE4E53"/>
    <w:rsid w:val="00FF1A53"/>
    <w:rsid w:val="00FF5233"/>
    <w:rsid w:val="09EE2174"/>
    <w:rsid w:val="13DC6047"/>
    <w:rsid w:val="148B65F7"/>
    <w:rsid w:val="185C4C1A"/>
    <w:rsid w:val="19436815"/>
    <w:rsid w:val="1BB325F9"/>
    <w:rsid w:val="223E233F"/>
    <w:rsid w:val="264F45FE"/>
    <w:rsid w:val="26E47708"/>
    <w:rsid w:val="27270580"/>
    <w:rsid w:val="275B581B"/>
    <w:rsid w:val="32F35FA8"/>
    <w:rsid w:val="34335EBC"/>
    <w:rsid w:val="39D816A9"/>
    <w:rsid w:val="3FF765BE"/>
    <w:rsid w:val="40B64B14"/>
    <w:rsid w:val="41D51CA8"/>
    <w:rsid w:val="42056205"/>
    <w:rsid w:val="43BF5FAF"/>
    <w:rsid w:val="4C81084D"/>
    <w:rsid w:val="5BB301DD"/>
    <w:rsid w:val="608E6DA8"/>
    <w:rsid w:val="6D36292E"/>
    <w:rsid w:val="7604651F"/>
    <w:rsid w:val="7A465E0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qFormat="1" w:uiPriority="99" w:semiHidden="0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qFormat="1" w:unhideWhenUsed="0" w:uiPriority="1" w:semiHidden="0" w:name="No Spacing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spacing w:after="0" w:line="240" w:lineRule="auto"/>
      <w:ind w:firstLine="709"/>
      <w:jc w:val="both"/>
    </w:pPr>
    <w:rPr>
      <w:rFonts w:asciiTheme="minorHAnsi" w:hAnsiTheme="minorHAnsi" w:eastAsiaTheme="minorHAnsi" w:cstheme="minorBidi"/>
      <w:sz w:val="22"/>
      <w:szCs w:val="22"/>
      <w:lang w:val="ru-RU" w:eastAsia="en-US" w:bidi="ar-SA"/>
    </w:rPr>
  </w:style>
  <w:style w:type="paragraph" w:styleId="2">
    <w:name w:val="heading 1"/>
    <w:basedOn w:val="1"/>
    <w:next w:val="1"/>
    <w:link w:val="15"/>
    <w:qFormat/>
    <w:uiPriority w:val="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2F5597" w:themeColor="accent1" w:themeShade="BF"/>
      <w:sz w:val="28"/>
      <w:szCs w:val="28"/>
    </w:rPr>
  </w:style>
  <w:style w:type="paragraph" w:styleId="3">
    <w:name w:val="heading 2"/>
    <w:basedOn w:val="1"/>
    <w:next w:val="1"/>
    <w:link w:val="20"/>
    <w:unhideWhenUsed/>
    <w:qFormat/>
    <w:uiPriority w:val="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472C4" w:themeColor="accent1"/>
      <w:sz w:val="26"/>
      <w:szCs w:val="26"/>
      <w14:textFill>
        <w14:solidFill>
          <w14:schemeClr w14:val="accent1"/>
        </w14:solidFill>
      </w14:textFill>
    </w:rPr>
  </w:style>
  <w:style w:type="paragraph" w:styleId="4">
    <w:name w:val="heading 3"/>
    <w:basedOn w:val="1"/>
    <w:next w:val="1"/>
    <w:link w:val="35"/>
    <w:semiHidden/>
    <w:unhideWhenUsed/>
    <w:qFormat/>
    <w:uiPriority w:val="9"/>
    <w:pPr>
      <w:keepNext/>
      <w:keepLines/>
      <w:spacing w:before="40"/>
      <w:outlineLvl w:val="2"/>
    </w:pPr>
    <w:rPr>
      <w:rFonts w:asciiTheme="majorHAnsi" w:hAnsiTheme="majorHAnsi" w:eastAsiaTheme="majorEastAsia" w:cstheme="majorBidi"/>
      <w:color w:val="203864" w:themeColor="accent1" w:themeShade="80"/>
      <w:sz w:val="24"/>
      <w:szCs w:val="24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HTML Acronym"/>
    <w:basedOn w:val="5"/>
    <w:unhideWhenUsed/>
    <w:qFormat/>
    <w:uiPriority w:val="99"/>
    <w:rPr>
      <w:shd w:val="clear" w:color="auto" w:fill="FFFF00"/>
    </w:rPr>
  </w:style>
  <w:style w:type="character" w:styleId="8">
    <w:name w:val="Hyperlink"/>
    <w:basedOn w:val="5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paragraph" w:styleId="9">
    <w:name w:val="Balloon Text"/>
    <w:basedOn w:val="1"/>
    <w:link w:val="19"/>
    <w:semiHidden/>
    <w:unhideWhenUsed/>
    <w:qFormat/>
    <w:uiPriority w:val="99"/>
    <w:rPr>
      <w:rFonts w:ascii="Segoe UI" w:hAnsi="Segoe UI" w:cs="Segoe UI"/>
      <w:sz w:val="18"/>
      <w:szCs w:val="18"/>
    </w:rPr>
  </w:style>
  <w:style w:type="paragraph" w:styleId="10">
    <w:name w:val="header"/>
    <w:basedOn w:val="1"/>
    <w:link w:val="40"/>
    <w:unhideWhenUsed/>
    <w:qFormat/>
    <w:uiPriority w:val="99"/>
    <w:pPr>
      <w:tabs>
        <w:tab w:val="center" w:pos="4677"/>
        <w:tab w:val="right" w:pos="9355"/>
      </w:tabs>
    </w:pPr>
  </w:style>
  <w:style w:type="paragraph" w:styleId="11">
    <w:name w:val="Title"/>
    <w:basedOn w:val="1"/>
    <w:next w:val="1"/>
    <w:link w:val="32"/>
    <w:qFormat/>
    <w:uiPriority w:val="10"/>
    <w:pPr>
      <w:pBdr>
        <w:bottom w:val="single" w:color="4472C4" w:themeColor="accent1" w:sz="8" w:space="4"/>
      </w:pBdr>
      <w:spacing w:after="300"/>
      <w:ind w:firstLine="0"/>
      <w:contextualSpacing/>
    </w:pPr>
    <w:rPr>
      <w:rFonts w:asciiTheme="majorHAnsi" w:hAnsiTheme="majorHAnsi" w:eastAsiaTheme="majorEastAsia" w:cstheme="majorBidi"/>
      <w:color w:val="333F50" w:themeColor="text2" w:themeShade="BF"/>
      <w:spacing w:val="5"/>
      <w:kern w:val="28"/>
      <w:sz w:val="52"/>
      <w:szCs w:val="52"/>
      <w:lang w:val="en-US" w:bidi="en-US"/>
    </w:rPr>
  </w:style>
  <w:style w:type="paragraph" w:styleId="12">
    <w:name w:val="footer"/>
    <w:basedOn w:val="1"/>
    <w:link w:val="41"/>
    <w:unhideWhenUsed/>
    <w:qFormat/>
    <w:uiPriority w:val="99"/>
    <w:pPr>
      <w:tabs>
        <w:tab w:val="center" w:pos="4677"/>
        <w:tab w:val="right" w:pos="9355"/>
      </w:tabs>
    </w:pPr>
  </w:style>
  <w:style w:type="paragraph" w:styleId="13">
    <w:name w:val="Normal (Web)"/>
    <w:basedOn w:val="1"/>
    <w:unhideWhenUsed/>
    <w:qFormat/>
    <w:uiPriority w:val="99"/>
    <w:pPr>
      <w:spacing w:before="100" w:beforeAutospacing="1" w:after="100" w:afterAutospacing="1"/>
      <w:ind w:firstLine="0"/>
      <w:jc w:val="left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table" w:styleId="14">
    <w:name w:val="Table Grid"/>
    <w:basedOn w:val="6"/>
    <w:qFormat/>
    <w:uiPriority w:val="59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character" w:customStyle="1" w:styleId="15">
    <w:name w:val="Заголовок 1 Знак"/>
    <w:basedOn w:val="5"/>
    <w:link w:val="2"/>
    <w:qFormat/>
    <w:uiPriority w:val="9"/>
    <w:rPr>
      <w:rFonts w:asciiTheme="majorHAnsi" w:hAnsiTheme="majorHAnsi" w:eastAsiaTheme="majorEastAsia" w:cstheme="majorBidi"/>
      <w:b/>
      <w:bCs/>
      <w:color w:val="2F5597" w:themeColor="accent1" w:themeShade="BF"/>
      <w:sz w:val="28"/>
      <w:szCs w:val="28"/>
      <w:lang w:val="ru-RU"/>
    </w:rPr>
  </w:style>
  <w:style w:type="paragraph" w:customStyle="1" w:styleId="16">
    <w:name w:val="newncpi"/>
    <w:basedOn w:val="1"/>
    <w:qFormat/>
    <w:uiPriority w:val="0"/>
    <w:pPr>
      <w:spacing w:before="160" w:after="160"/>
      <w:ind w:firstLine="567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customStyle="1" w:styleId="17">
    <w:name w:val="newncpi0"/>
    <w:basedOn w:val="1"/>
    <w:qFormat/>
    <w:uiPriority w:val="99"/>
    <w:pPr>
      <w:ind w:firstLine="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customStyle="1" w:styleId="18">
    <w:name w:val="table10"/>
    <w:basedOn w:val="1"/>
    <w:qFormat/>
    <w:uiPriority w:val="0"/>
    <w:pPr>
      <w:ind w:firstLine="0"/>
      <w:jc w:val="left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customStyle="1" w:styleId="19">
    <w:name w:val="Текст выноски Знак"/>
    <w:basedOn w:val="5"/>
    <w:link w:val="9"/>
    <w:semiHidden/>
    <w:qFormat/>
    <w:uiPriority w:val="99"/>
    <w:rPr>
      <w:rFonts w:ascii="Segoe UI" w:hAnsi="Segoe UI" w:cs="Segoe UI"/>
      <w:sz w:val="18"/>
      <w:szCs w:val="18"/>
      <w:lang w:val="ru-RU"/>
    </w:rPr>
  </w:style>
  <w:style w:type="character" w:customStyle="1" w:styleId="20">
    <w:name w:val="Заголовок 2 Знак"/>
    <w:basedOn w:val="5"/>
    <w:link w:val="3"/>
    <w:qFormat/>
    <w:uiPriority w:val="9"/>
    <w:rPr>
      <w:rFonts w:asciiTheme="majorHAnsi" w:hAnsiTheme="majorHAnsi" w:eastAsiaTheme="majorEastAsia" w:cstheme="majorBidi"/>
      <w:b/>
      <w:bCs/>
      <w:color w:val="4472C4" w:themeColor="accent1"/>
      <w:sz w:val="26"/>
      <w:szCs w:val="26"/>
      <w14:textFill>
        <w14:solidFill>
          <w14:schemeClr w14:val="accent1"/>
        </w14:solidFill>
      </w14:textFill>
    </w:rPr>
  </w:style>
  <w:style w:type="paragraph" w:customStyle="1" w:styleId="21">
    <w:name w:val="ConsPlusNonformat"/>
    <w:qFormat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eastAsia="Times New Roman" w:cs="Courier New"/>
      <w:sz w:val="20"/>
      <w:szCs w:val="20"/>
      <w:lang w:val="ru-RU" w:eastAsia="ru-RU" w:bidi="ar-SA"/>
    </w:rPr>
  </w:style>
  <w:style w:type="paragraph" w:customStyle="1" w:styleId="22">
    <w:name w:val="justify"/>
    <w:basedOn w:val="1"/>
    <w:qFormat/>
    <w:uiPriority w:val="0"/>
    <w:pPr>
      <w:spacing w:after="160"/>
      <w:ind w:firstLine="567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customStyle="1" w:styleId="23">
    <w:name w:val="a0"/>
    <w:basedOn w:val="1"/>
    <w:semiHidden/>
    <w:qFormat/>
    <w:uiPriority w:val="99"/>
    <w:pPr>
      <w:spacing w:after="160"/>
      <w:ind w:firstLine="0"/>
      <w:jc w:val="left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customStyle="1" w:styleId="24">
    <w:name w:val="ConsPlusCell"/>
    <w:qFormat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eastAsia="Times New Roman" w:cs="Arial"/>
      <w:sz w:val="20"/>
      <w:szCs w:val="20"/>
      <w:lang w:val="ru-RU" w:eastAsia="ru-RU" w:bidi="ar-SA"/>
    </w:rPr>
  </w:style>
  <w:style w:type="paragraph" w:customStyle="1" w:styleId="25">
    <w:name w:val="ConsPlusNormal"/>
    <w:qFormat/>
    <w:uiPriority w:val="0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 w:eastAsiaTheme="minorEastAsia"/>
      <w:sz w:val="20"/>
      <w:szCs w:val="20"/>
      <w:lang w:val="ru-RU" w:eastAsia="ru-RU" w:bidi="ar-SA"/>
    </w:rPr>
  </w:style>
  <w:style w:type="paragraph" w:customStyle="1" w:styleId="26">
    <w:name w:val="ConsNonformat"/>
    <w:qFormat/>
    <w:uiPriority w:val="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eastAsia="Times New Roman" w:cs="Courier New"/>
      <w:sz w:val="22"/>
      <w:szCs w:val="22"/>
      <w:lang w:val="ru-RU" w:eastAsia="ru-RU" w:bidi="ar-SA"/>
    </w:rPr>
  </w:style>
  <w:style w:type="character" w:customStyle="1" w:styleId="27">
    <w:name w:val="Основной текст_"/>
    <w:link w:val="28"/>
    <w:qFormat/>
    <w:uiPriority w:val="0"/>
    <w:rPr>
      <w:rFonts w:ascii="Times New Roman" w:hAnsi="Times New Roman" w:eastAsia="Times New Roman"/>
      <w:shd w:val="clear" w:color="auto" w:fill="FFFFFF"/>
    </w:rPr>
  </w:style>
  <w:style w:type="paragraph" w:customStyle="1" w:styleId="28">
    <w:name w:val="Основной текст7"/>
    <w:basedOn w:val="1"/>
    <w:link w:val="27"/>
    <w:qFormat/>
    <w:uiPriority w:val="0"/>
    <w:pPr>
      <w:widowControl w:val="0"/>
      <w:shd w:val="clear" w:color="auto" w:fill="FFFFFF"/>
      <w:spacing w:line="235" w:lineRule="exact"/>
      <w:ind w:firstLine="0"/>
    </w:pPr>
    <w:rPr>
      <w:rFonts w:ascii="Times New Roman" w:hAnsi="Times New Roman" w:eastAsia="Times New Roman"/>
    </w:rPr>
  </w:style>
  <w:style w:type="character" w:customStyle="1" w:styleId="29">
    <w:name w:val="Основной текст1"/>
    <w:qFormat/>
    <w:uiPriority w:val="0"/>
    <w:rPr>
      <w:rFonts w:ascii="Times New Roman" w:hAnsi="Times New Roman" w:eastAsia="Times New Roman"/>
      <w:color w:val="000000"/>
      <w:spacing w:val="0"/>
      <w:w w:val="100"/>
      <w:position w:val="0"/>
      <w:shd w:val="clear" w:color="auto" w:fill="FFFFFF"/>
      <w:lang w:val="ru-RU"/>
    </w:rPr>
  </w:style>
  <w:style w:type="character" w:customStyle="1" w:styleId="30">
    <w:name w:val="h"/>
    <w:basedOn w:val="5"/>
    <w:qFormat/>
    <w:uiPriority w:val="0"/>
  </w:style>
  <w:style w:type="character" w:customStyle="1" w:styleId="31">
    <w:name w:val="apple-converted-space"/>
    <w:basedOn w:val="5"/>
    <w:qFormat/>
    <w:uiPriority w:val="0"/>
  </w:style>
  <w:style w:type="character" w:customStyle="1" w:styleId="32">
    <w:name w:val="Название Знак"/>
    <w:basedOn w:val="5"/>
    <w:link w:val="11"/>
    <w:qFormat/>
    <w:uiPriority w:val="10"/>
    <w:rPr>
      <w:rFonts w:asciiTheme="majorHAnsi" w:hAnsiTheme="majorHAnsi" w:eastAsiaTheme="majorEastAsia" w:cstheme="majorBidi"/>
      <w:color w:val="333F50" w:themeColor="text2" w:themeShade="BF"/>
      <w:spacing w:val="5"/>
      <w:kern w:val="28"/>
      <w:sz w:val="52"/>
      <w:szCs w:val="52"/>
      <w:lang w:val="en-US" w:bidi="en-US"/>
    </w:rPr>
  </w:style>
  <w:style w:type="character" w:customStyle="1" w:styleId="33">
    <w:name w:val="iceouttxt"/>
    <w:basedOn w:val="5"/>
    <w:qFormat/>
    <w:uiPriority w:val="0"/>
  </w:style>
  <w:style w:type="paragraph" w:styleId="34">
    <w:name w:val="List Paragraph"/>
    <w:basedOn w:val="1"/>
    <w:qFormat/>
    <w:uiPriority w:val="34"/>
    <w:pPr>
      <w:spacing w:after="200" w:line="276" w:lineRule="auto"/>
      <w:ind w:left="720" w:firstLine="0"/>
      <w:contextualSpacing/>
      <w:jc w:val="left"/>
    </w:pPr>
    <w:rPr>
      <w:rFonts w:eastAsiaTheme="minorEastAsia"/>
      <w:lang w:eastAsia="ru-RU"/>
    </w:rPr>
  </w:style>
  <w:style w:type="character" w:customStyle="1" w:styleId="35">
    <w:name w:val="Заголовок 3 Знак"/>
    <w:basedOn w:val="5"/>
    <w:link w:val="4"/>
    <w:semiHidden/>
    <w:qFormat/>
    <w:uiPriority w:val="9"/>
    <w:rPr>
      <w:rFonts w:asciiTheme="majorHAnsi" w:hAnsiTheme="majorHAnsi" w:eastAsiaTheme="majorEastAsia" w:cstheme="majorBidi"/>
      <w:color w:val="203864" w:themeColor="accent1" w:themeShade="80"/>
      <w:sz w:val="24"/>
      <w:szCs w:val="24"/>
    </w:rPr>
  </w:style>
  <w:style w:type="character" w:customStyle="1" w:styleId="36">
    <w:name w:val="Подпись к таблице (2)_"/>
    <w:basedOn w:val="5"/>
    <w:link w:val="37"/>
    <w:qFormat/>
    <w:uiPriority w:val="0"/>
    <w:rPr>
      <w:sz w:val="27"/>
      <w:szCs w:val="27"/>
      <w:shd w:val="clear" w:color="auto" w:fill="FFFFFF"/>
    </w:rPr>
  </w:style>
  <w:style w:type="paragraph" w:customStyle="1" w:styleId="37">
    <w:name w:val="Подпись к таблице (2)"/>
    <w:basedOn w:val="1"/>
    <w:link w:val="36"/>
    <w:qFormat/>
    <w:uiPriority w:val="0"/>
    <w:pPr>
      <w:widowControl w:val="0"/>
      <w:shd w:val="clear" w:color="auto" w:fill="FFFFFF"/>
      <w:spacing w:line="0" w:lineRule="atLeast"/>
      <w:ind w:firstLine="0"/>
      <w:jc w:val="left"/>
    </w:pPr>
    <w:rPr>
      <w:sz w:val="27"/>
      <w:szCs w:val="27"/>
    </w:rPr>
  </w:style>
  <w:style w:type="paragraph" w:styleId="38">
    <w:name w:val="No Spacing"/>
    <w:qFormat/>
    <w:uiPriority w:val="1"/>
    <w:pPr>
      <w:spacing w:after="0" w:line="240" w:lineRule="auto"/>
    </w:pPr>
    <w:rPr>
      <w:rFonts w:asciiTheme="minorHAnsi" w:hAnsiTheme="minorHAnsi" w:eastAsiaTheme="minorEastAsia" w:cstheme="minorBidi"/>
      <w:sz w:val="22"/>
      <w:szCs w:val="22"/>
      <w:lang w:val="ru-RU" w:eastAsia="ru-RU" w:bidi="ar-SA"/>
    </w:rPr>
  </w:style>
  <w:style w:type="paragraph" w:customStyle="1" w:styleId="39">
    <w:name w:val="Основной текст2"/>
    <w:basedOn w:val="1"/>
    <w:qFormat/>
    <w:uiPriority w:val="0"/>
    <w:pPr>
      <w:widowControl w:val="0"/>
      <w:shd w:val="clear" w:color="auto" w:fill="FFFFFF"/>
      <w:spacing w:before="540" w:line="322" w:lineRule="exact"/>
      <w:ind w:hanging="440"/>
      <w:jc w:val="left"/>
    </w:pPr>
    <w:rPr>
      <w:rFonts w:ascii="Times New Roman" w:hAnsi="Times New Roman" w:eastAsia="Times New Roman" w:cs="Times New Roman"/>
      <w:color w:val="000000"/>
      <w:sz w:val="27"/>
      <w:szCs w:val="27"/>
      <w:lang w:eastAsia="ru-RU"/>
    </w:rPr>
  </w:style>
  <w:style w:type="character" w:customStyle="1" w:styleId="40">
    <w:name w:val="Верхний колонтитул Знак"/>
    <w:basedOn w:val="5"/>
    <w:link w:val="10"/>
    <w:qFormat/>
    <w:uiPriority w:val="99"/>
  </w:style>
  <w:style w:type="character" w:customStyle="1" w:styleId="41">
    <w:name w:val="Нижний колонтитул Знак"/>
    <w:basedOn w:val="5"/>
    <w:link w:val="12"/>
    <w:qFormat/>
    <w:uiPriority w:val="99"/>
  </w:style>
  <w:style w:type="paragraph" w:customStyle="1" w:styleId="42">
    <w:name w:val="p-normal"/>
    <w:basedOn w:val="1"/>
    <w:qFormat/>
    <w:uiPriority w:val="0"/>
    <w:pPr>
      <w:spacing w:before="100" w:beforeAutospacing="1" w:after="100" w:afterAutospacing="1"/>
      <w:ind w:firstLine="0"/>
      <w:jc w:val="left"/>
    </w:pPr>
    <w:rPr>
      <w:rFonts w:ascii="Times New Roman" w:hAnsi="Times New Roman" w:eastAsia="Times New Roman" w:cs="Times New Roman"/>
      <w:sz w:val="24"/>
      <w:szCs w:val="24"/>
      <w:lang w:eastAsia="ru-RU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FB5E46A-25E7-4102-BF53-61A5BD3818F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Grizli777</Company>
  <Pages>5</Pages>
  <Words>1390</Words>
  <Characters>10251</Characters>
  <Lines>83</Lines>
  <Paragraphs>23</Paragraphs>
  <TotalTime>1</TotalTime>
  <ScaleCrop>false</ScaleCrop>
  <LinksUpToDate>false</LinksUpToDate>
  <CharactersWithSpaces>11695</CharactersWithSpaces>
  <Application>WPS Office_12.1.0.26880_F1E327BC-269C-435d-A152-05C5408002CA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2025-02-04T06:40:00Z</dcterms:created>
  <dc:creator>User2</dc:creator>
  <cp:lastModifiedBy>Goga Pipa</cp:lastModifiedBy>
  <cp:lastPrinted>2026-03-12T14:24:00Z</cp:lastPrinted>
  <dcterms:modified xsi:type="dcterms:W3CDTF">2026-06-03T04:52:31Z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1049-12.1.0.26880</vt:lpwstr>
  </property>
  <property fmtid="{D5CDD505-2E9C-101B-9397-08002B2CF9AE}" pid="3" name="ICV">
    <vt:lpwstr>5FD39F4308A540EAA6ED2A107300D5E6_12</vt:lpwstr>
  </property>
  <property fmtid="{D5CDD505-2E9C-101B-9397-08002B2CF9AE}" pid="4" name="KSOTemplateDocerSaveRecord">
    <vt:lpwstr>eyJoZGlkIjoiNGJlMzlhMDNiNWY4OTkzMWQ2ZDEwNjEwOTJiMDVkM2UiLCJ1c2VySWQiOiI3NTc2ODYyNTk1Mzc1In0=</vt:lpwstr>
  </property>
</Properties>
</file>